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95B" w:rsidRPr="006A1287" w:rsidRDefault="004E395B" w:rsidP="004E395B">
      <w:pPr>
        <w:spacing w:after="0" w:line="360" w:lineRule="auto"/>
        <w:jc w:val="both"/>
        <w:rPr>
          <w:rFonts w:ascii="Cambria" w:hAnsi="Cambria" w:cs="Times New Roman"/>
          <w:sz w:val="24"/>
          <w:szCs w:val="24"/>
        </w:rPr>
      </w:pPr>
      <w:bookmarkStart w:id="0" w:name="OLE_LINK1"/>
      <w:bookmarkStart w:id="1" w:name="OLE_LINK2"/>
    </w:p>
    <w:p w:rsidR="00FC3576" w:rsidRPr="006A1287" w:rsidRDefault="00FC3576" w:rsidP="004E395B">
      <w:pPr>
        <w:spacing w:after="0" w:line="360" w:lineRule="auto"/>
        <w:jc w:val="both"/>
        <w:rPr>
          <w:rFonts w:ascii="Cambria" w:hAnsi="Cambria"/>
          <w:b/>
          <w:bCs/>
          <w:sz w:val="24"/>
          <w:szCs w:val="24"/>
        </w:rPr>
      </w:pPr>
      <w:r w:rsidRPr="006A1287">
        <w:rPr>
          <w:rFonts w:ascii="Cambria" w:hAnsi="Cambria"/>
          <w:b/>
          <w:bCs/>
          <w:sz w:val="24"/>
          <w:szCs w:val="24"/>
        </w:rPr>
        <w:t>Plan nabave knjižne i neknjižne građe Gradske i sveučilišne knjižnice Osijek</w:t>
      </w:r>
      <w:r w:rsidR="000D0284">
        <w:rPr>
          <w:rFonts w:ascii="Cambria" w:hAnsi="Cambria"/>
          <w:b/>
          <w:bCs/>
          <w:sz w:val="24"/>
          <w:szCs w:val="24"/>
        </w:rPr>
        <w:t xml:space="preserve"> za 2025.</w:t>
      </w:r>
      <w:bookmarkStart w:id="2" w:name="_GoBack"/>
      <w:bookmarkEnd w:id="2"/>
    </w:p>
    <w:p w:rsidR="00FC3576" w:rsidRPr="002C0F0B" w:rsidRDefault="00FC3576" w:rsidP="004E395B">
      <w:pPr>
        <w:spacing w:after="0" w:line="360" w:lineRule="auto"/>
        <w:jc w:val="both"/>
        <w:rPr>
          <w:rFonts w:ascii="Cambria" w:hAnsi="Cambria"/>
          <w:b/>
          <w:bCs/>
        </w:rPr>
      </w:pPr>
    </w:p>
    <w:p w:rsidR="00B263E5" w:rsidRPr="008B4433" w:rsidRDefault="00FC3576" w:rsidP="00B263E5">
      <w:pPr>
        <w:spacing w:line="360" w:lineRule="auto"/>
        <w:ind w:firstLine="708"/>
        <w:jc w:val="both"/>
        <w:rPr>
          <w:rFonts w:ascii="Cambria" w:hAnsi="Cambria"/>
        </w:rPr>
      </w:pPr>
      <w:r w:rsidRPr="008B4433">
        <w:rPr>
          <w:rFonts w:ascii="Cambria" w:hAnsi="Cambria"/>
        </w:rPr>
        <w:t xml:space="preserve">Nabavna je politika skup konkretnih uputa o tome kakvim sadržajima i formalnim kriterijima knjižnica popunjava svoje zbirke i na koji način navedeno realizira. Nabavna politika </w:t>
      </w:r>
      <w:r w:rsidR="00B263E5" w:rsidRPr="008B4433">
        <w:rPr>
          <w:rFonts w:ascii="Cambria" w:hAnsi="Cambria"/>
        </w:rPr>
        <w:t>Gradske i sveučilišne knjižnice Osijek</w:t>
      </w:r>
      <w:r w:rsidR="00B263E5" w:rsidRPr="008B4433">
        <w:rPr>
          <w:rStyle w:val="Referencafusnote"/>
          <w:rFonts w:ascii="Cambria" w:hAnsi="Cambria"/>
        </w:rPr>
        <w:footnoteReference w:id="1"/>
      </w:r>
      <w:r w:rsidRPr="008B4433">
        <w:rPr>
          <w:rFonts w:ascii="Cambria" w:hAnsi="Cambria"/>
        </w:rPr>
        <w:t xml:space="preserve"> stoga proizlazi iz njenih zadataka i namjene. Usklađuje se i korigira u okvire koje određuju: Standardni za narodne knjižnice Republike Hrvatske</w:t>
      </w:r>
      <w:r w:rsidR="00AA14D0">
        <w:rPr>
          <w:rFonts w:ascii="Cambria" w:hAnsi="Cambria"/>
        </w:rPr>
        <w:t xml:space="preserve"> </w:t>
      </w:r>
      <w:r w:rsidR="00416372" w:rsidRPr="00485081">
        <w:t>(</w:t>
      </w:r>
      <w:r w:rsidR="00416372" w:rsidRPr="00485081">
        <w:rPr>
          <w:lang w:val="fr-FR"/>
        </w:rPr>
        <w:t>N</w:t>
      </w:r>
      <w:r w:rsidR="00416372">
        <w:t>N 103/2021)</w:t>
      </w:r>
      <w:r w:rsidRPr="008B4433">
        <w:rPr>
          <w:rFonts w:ascii="Cambria" w:hAnsi="Cambria"/>
        </w:rPr>
        <w:t>, Standardni za visokoškolske knjižnice u Republici Hrvatskoj</w:t>
      </w:r>
      <w:r w:rsidR="00416372">
        <w:rPr>
          <w:rFonts w:ascii="Cambria" w:hAnsi="Cambria"/>
        </w:rPr>
        <w:t xml:space="preserve"> (NN 81/2022)</w:t>
      </w:r>
      <w:r w:rsidRPr="008B4433">
        <w:rPr>
          <w:rFonts w:ascii="Cambria" w:hAnsi="Cambria"/>
        </w:rPr>
        <w:t>, Smjernice za nabavu GISKO-a, veličina populacije na području koje knjižnična služba obuhvaća, blizina drugih knjižnica, regionalna uloga zbirki, procjene lokalnih potreba, nakladničke ponude i financijske mogućnosti. Nabavna politika GISKO u skladu je i s preporukama sljedećih dokumenata: UNESCO-</w:t>
      </w:r>
      <w:proofErr w:type="spellStart"/>
      <w:r w:rsidRPr="008B4433">
        <w:rPr>
          <w:rFonts w:ascii="Cambria" w:hAnsi="Cambria"/>
        </w:rPr>
        <w:t>va</w:t>
      </w:r>
      <w:proofErr w:type="spellEnd"/>
      <w:r w:rsidRPr="008B4433">
        <w:rPr>
          <w:rFonts w:ascii="Cambria" w:hAnsi="Cambria"/>
        </w:rPr>
        <w:t xml:space="preserve"> </w:t>
      </w:r>
      <w:r w:rsidRPr="008B4433">
        <w:rPr>
          <w:rFonts w:ascii="Cambria" w:hAnsi="Cambria"/>
          <w:iCs/>
        </w:rPr>
        <w:t>Manifesta za narodne knjižnice</w:t>
      </w:r>
      <w:r w:rsidRPr="008B4433">
        <w:rPr>
          <w:rStyle w:val="Referencafusnote"/>
          <w:rFonts w:ascii="Cambria" w:hAnsi="Cambria"/>
          <w:iCs/>
        </w:rPr>
        <w:footnoteReference w:id="2"/>
      </w:r>
      <w:r w:rsidRPr="008B4433">
        <w:rPr>
          <w:rFonts w:ascii="Cambria" w:hAnsi="Cambria"/>
        </w:rPr>
        <w:t xml:space="preserve">, </w:t>
      </w:r>
      <w:r w:rsidRPr="008B4433">
        <w:rPr>
          <w:rFonts w:ascii="Cambria" w:hAnsi="Cambria"/>
          <w:iCs/>
        </w:rPr>
        <w:t>Kopenhaške deklaracije o važnosti narodnih</w:t>
      </w:r>
      <w:r w:rsidRPr="008B4433">
        <w:rPr>
          <w:rFonts w:ascii="Cambria" w:hAnsi="Cambria"/>
        </w:rPr>
        <w:t xml:space="preserve"> </w:t>
      </w:r>
      <w:r w:rsidRPr="008B4433">
        <w:rPr>
          <w:rFonts w:ascii="Cambria" w:hAnsi="Cambria"/>
          <w:iCs/>
        </w:rPr>
        <w:t>knjižnica u informacijskom društvu</w:t>
      </w:r>
      <w:r w:rsidRPr="008B4433">
        <w:rPr>
          <w:rFonts w:ascii="Cambria" w:hAnsi="Cambria"/>
        </w:rPr>
        <w:t>, IFLA-ih i UNESCO-vih smjernica za razvoj službi i usluga u narodnim knjižnicama</w:t>
      </w:r>
      <w:r w:rsidRPr="008B4433">
        <w:rPr>
          <w:rStyle w:val="Referencafusnote"/>
          <w:rFonts w:ascii="Cambria" w:hAnsi="Cambria"/>
        </w:rPr>
        <w:footnoteReference w:id="3"/>
      </w:r>
      <w:r w:rsidRPr="008B4433">
        <w:rPr>
          <w:rFonts w:ascii="Cambria" w:hAnsi="Cambria"/>
        </w:rPr>
        <w:t xml:space="preserve">, Izjave IFLA-ine Komisije za slobodu izražavanja i slobodan pristup informacijama </w:t>
      </w:r>
      <w:r w:rsidRPr="008B4433">
        <w:rPr>
          <w:rFonts w:ascii="Cambria" w:hAnsi="Cambria"/>
          <w:iCs/>
        </w:rPr>
        <w:t>knjižnice i intelektualnih sloboda</w:t>
      </w:r>
      <w:r w:rsidRPr="008B4433">
        <w:rPr>
          <w:rFonts w:ascii="Cambria" w:hAnsi="Cambria"/>
        </w:rPr>
        <w:t xml:space="preserve">. Da bi odgovorili na zahtjeve korisnika, knjižnična(e) zbirka(e) trebaju sadržavati raznovrsnu građu bez obzira na vrstu, formate i medije, a dijeli se na knjige, periodiku (novine, časopisi i dr.), </w:t>
      </w:r>
      <w:proofErr w:type="spellStart"/>
      <w:r w:rsidRPr="008B4433">
        <w:rPr>
          <w:rFonts w:ascii="Cambria" w:hAnsi="Cambria"/>
        </w:rPr>
        <w:t>polupublikacije</w:t>
      </w:r>
      <w:proofErr w:type="spellEnd"/>
      <w:r w:rsidRPr="008B4433">
        <w:rPr>
          <w:rFonts w:ascii="Cambria" w:hAnsi="Cambria"/>
        </w:rPr>
        <w:t xml:space="preserve"> (uključujući službene publikacije), NBM (</w:t>
      </w:r>
      <w:proofErr w:type="spellStart"/>
      <w:r w:rsidRPr="008B4433">
        <w:rPr>
          <w:rFonts w:ascii="Cambria" w:hAnsi="Cambria"/>
        </w:rPr>
        <w:t>neknjižna</w:t>
      </w:r>
      <w:proofErr w:type="spellEnd"/>
      <w:r w:rsidRPr="008B4433">
        <w:rPr>
          <w:rFonts w:ascii="Cambria" w:hAnsi="Cambria"/>
        </w:rPr>
        <w:t xml:space="preserve"> građa), </w:t>
      </w:r>
      <w:proofErr w:type="spellStart"/>
      <w:r w:rsidRPr="008B4433">
        <w:rPr>
          <w:rFonts w:ascii="Cambria" w:hAnsi="Cambria"/>
        </w:rPr>
        <w:t>mikrooblici</w:t>
      </w:r>
      <w:proofErr w:type="spellEnd"/>
      <w:r w:rsidRPr="008B4433">
        <w:rPr>
          <w:rFonts w:ascii="Cambria" w:hAnsi="Cambria"/>
        </w:rPr>
        <w:t>, audiovizualna građa digitalnu građu, online baze podataka, magnetni mediji i optički diskovi, igre i igračke, građa za slijepe i slabovidne osobe, grafičke mape. Knjižnično poslovanje navodi četiri načina nabave knjižnične građe među kojima je kupnja oblik nabave građe među najzastupljenijima</w:t>
      </w:r>
      <w:r w:rsidR="00B263E5" w:rsidRPr="008B4433">
        <w:rPr>
          <w:rFonts w:ascii="Cambria" w:hAnsi="Cambria"/>
        </w:rPr>
        <w:t xml:space="preserve"> u većini knjižnica pa tako i u GISKO-u</w:t>
      </w:r>
      <w:r w:rsidRPr="008B4433">
        <w:rPr>
          <w:rFonts w:ascii="Cambria" w:hAnsi="Cambria"/>
        </w:rPr>
        <w:t>. Zamjenu knjižnične građe knjižnice obavljaju s drugom knjižnicom ili srodnim ustanovama. Darovi kao treća vrta nabave pristižu u knjižnicu od ustanova, korisnika ili drugih osoba, uglavnom željom darovatelja (slučajni), ali mogu biti i izazvani ako knjižničar zamoli pojedinca ili ustanovu da daruje određenu građu. Vrsta dara je i Otkup Ministarstva kulture</w:t>
      </w:r>
      <w:r w:rsidR="00B263E5" w:rsidRPr="008B4433">
        <w:rPr>
          <w:rFonts w:ascii="Cambria" w:hAnsi="Cambria"/>
        </w:rPr>
        <w:t xml:space="preserve"> i medija na kojeg Knjižnica zadnjih godina ima snažnij</w:t>
      </w:r>
      <w:r w:rsidR="00AA14D0">
        <w:rPr>
          <w:rFonts w:ascii="Cambria" w:hAnsi="Cambria"/>
        </w:rPr>
        <w:t xml:space="preserve">i utjecaj pri izgradnji i oblikovanju </w:t>
      </w:r>
      <w:proofErr w:type="spellStart"/>
      <w:r w:rsidR="00AA14D0">
        <w:rPr>
          <w:rFonts w:ascii="Cambria" w:hAnsi="Cambria"/>
        </w:rPr>
        <w:t>foinda</w:t>
      </w:r>
      <w:proofErr w:type="spellEnd"/>
      <w:r w:rsidR="00B263E5" w:rsidRPr="008B4433">
        <w:rPr>
          <w:rFonts w:ascii="Cambria" w:hAnsi="Cambria"/>
        </w:rPr>
        <w:t>.</w:t>
      </w:r>
      <w:r w:rsidRPr="008B4433">
        <w:rPr>
          <w:rFonts w:ascii="Cambria" w:hAnsi="Cambria"/>
        </w:rPr>
        <w:t xml:space="preserve"> Kao četvrta vrsta nabave GISKO-a navodi se obvezni primjerak što je zakonski</w:t>
      </w:r>
      <w:r w:rsidRPr="008B4433">
        <w:rPr>
          <w:rStyle w:val="Referencafusnote"/>
          <w:rFonts w:ascii="Cambria" w:hAnsi="Cambria"/>
        </w:rPr>
        <w:footnoteReference w:id="4"/>
      </w:r>
      <w:r w:rsidRPr="008B4433">
        <w:rPr>
          <w:rFonts w:ascii="Cambria" w:hAnsi="Cambria"/>
        </w:rPr>
        <w:t xml:space="preserve"> propisan način prikupljanja publikacija, prema kojem su proizvođači (nakladnici/tiskari) javno dostupnih publikacija s područja države dužni besplatno, u potpunosti i redovito, dostavljati propisani broj primjeraka određenoj knjižnici, a koja je dužna čuvati i omogućiti njihovu dostupnost. </w:t>
      </w:r>
    </w:p>
    <w:p w:rsidR="00AA14D0" w:rsidRPr="00AA14D0" w:rsidRDefault="00AA14D0" w:rsidP="00AA14D0">
      <w:pPr>
        <w:spacing w:after="0" w:line="360" w:lineRule="auto"/>
        <w:jc w:val="both"/>
        <w:rPr>
          <w:rFonts w:ascii="Cambria" w:hAnsi="Cambria"/>
          <w:b/>
          <w:sz w:val="24"/>
          <w:szCs w:val="24"/>
        </w:rPr>
      </w:pPr>
    </w:p>
    <w:p w:rsidR="00FC3576" w:rsidRPr="008B4433" w:rsidRDefault="00FC3576" w:rsidP="00B263E5">
      <w:pPr>
        <w:spacing w:line="360" w:lineRule="auto"/>
        <w:jc w:val="both"/>
        <w:rPr>
          <w:rFonts w:ascii="Cambria" w:hAnsi="Cambria"/>
          <w:b/>
          <w:sz w:val="26"/>
          <w:szCs w:val="26"/>
        </w:rPr>
      </w:pPr>
      <w:r w:rsidRPr="008B4433">
        <w:rPr>
          <w:rFonts w:ascii="Cambria" w:hAnsi="Cambria"/>
          <w:b/>
          <w:sz w:val="26"/>
          <w:szCs w:val="26"/>
        </w:rPr>
        <w:t>Osnovna načela izgradnje fonda G</w:t>
      </w:r>
      <w:r w:rsidR="00B263E5" w:rsidRPr="008B4433">
        <w:rPr>
          <w:rFonts w:ascii="Cambria" w:hAnsi="Cambria"/>
          <w:b/>
          <w:sz w:val="26"/>
          <w:szCs w:val="26"/>
        </w:rPr>
        <w:t>radske i sveučilišna knjižnice Osijek</w:t>
      </w:r>
    </w:p>
    <w:p w:rsidR="00FC3576" w:rsidRPr="008B4433" w:rsidRDefault="00FC3576" w:rsidP="00122D34">
      <w:pPr>
        <w:autoSpaceDE w:val="0"/>
        <w:autoSpaceDN w:val="0"/>
        <w:adjustRightInd w:val="0"/>
        <w:spacing w:after="0" w:line="360" w:lineRule="auto"/>
        <w:ind w:firstLine="708"/>
        <w:jc w:val="both"/>
        <w:rPr>
          <w:rFonts w:ascii="Cambria" w:hAnsi="Cambria"/>
          <w:highlight w:val="green"/>
        </w:rPr>
      </w:pPr>
      <w:r w:rsidRPr="008B4433">
        <w:rPr>
          <w:rFonts w:ascii="Cambria" w:hAnsi="Cambria"/>
        </w:rPr>
        <w:t xml:space="preserve">Izgradnja zbirke temeljiti </w:t>
      </w:r>
      <w:r w:rsidR="00B263E5" w:rsidRPr="008B4433">
        <w:rPr>
          <w:rFonts w:ascii="Cambria" w:hAnsi="Cambria"/>
        </w:rPr>
        <w:t xml:space="preserve">se </w:t>
      </w:r>
      <w:r w:rsidRPr="008B4433">
        <w:rPr>
          <w:rFonts w:ascii="Cambria" w:hAnsi="Cambria"/>
        </w:rPr>
        <w:t xml:space="preserve">na neovisnoj stručnoj procjeni knjižničara, bez političkog, vjerskog, tržišnog ili kakvoga drugog utjecaja, uz savjetovanje s predstavničkim tijelima korisnika, skupinama zajednice te s obrazovnim, informacijskim i kulturnim ustanovama. </w:t>
      </w:r>
      <w:r w:rsidR="00B263E5" w:rsidRPr="008B4433">
        <w:rPr>
          <w:rFonts w:ascii="Cambria" w:hAnsi="Cambria"/>
        </w:rPr>
        <w:t>GISKO</w:t>
      </w:r>
      <w:r w:rsidRPr="008B4433">
        <w:rPr>
          <w:rFonts w:ascii="Cambria" w:hAnsi="Cambria"/>
        </w:rPr>
        <w:t xml:space="preserve"> djeluje kao tradicionalna i suvremena knjižnica u nacionalnom knjižničnom sustavu. Na dobrobit korisničke zajednice promiče pravo na neometan pristup informacijama i idejama te sudjeluje u jačanju svijesti i obaviještenosti građana. Da bi mogla ispuniti svoje funkcije i zadaće središnje sveučilišne/znanstvene knjižnice</w:t>
      </w:r>
      <w:r w:rsidRPr="008B4433">
        <w:rPr>
          <w:rStyle w:val="Referencafusnote"/>
          <w:rFonts w:ascii="Cambria" w:hAnsi="Cambria"/>
        </w:rPr>
        <w:footnoteReference w:id="5"/>
      </w:r>
      <w:r w:rsidRPr="008B4433">
        <w:rPr>
          <w:rFonts w:ascii="Cambria" w:hAnsi="Cambria"/>
        </w:rPr>
        <w:t xml:space="preserve"> Sveučilišta Josipa Jurja Strossmayera u Osijeku i središnje (matične) javne/narodne knjižnice</w:t>
      </w:r>
      <w:r w:rsidRPr="008B4433">
        <w:rPr>
          <w:rStyle w:val="Referencafusnote"/>
          <w:rFonts w:ascii="Cambria" w:hAnsi="Cambria"/>
        </w:rPr>
        <w:footnoteReference w:id="6"/>
      </w:r>
      <w:r w:rsidRPr="008B4433">
        <w:rPr>
          <w:rFonts w:ascii="Cambria" w:hAnsi="Cambria"/>
        </w:rPr>
        <w:t xml:space="preserve"> Grada Osijeka i Županije Osječko-baranjske, teži planskom popunjavanju fondova relevantnim naslovima knjiga i druge građe s brojem primjeraka primjereno potrebama i interesima korisnika. </w:t>
      </w:r>
      <w:r w:rsidRPr="008B4433">
        <w:rPr>
          <w:rFonts w:ascii="Cambria" w:hAnsi="Cambria"/>
          <w:lang w:eastAsia="hr-HR"/>
        </w:rPr>
        <w:t xml:space="preserve">GISKO se prema broju stanovnika područja grada Osijeka </w:t>
      </w:r>
      <w:r w:rsidR="00B263E5" w:rsidRPr="008B4433">
        <w:rPr>
          <w:rFonts w:ascii="Cambria" w:hAnsi="Cambria"/>
        </w:rPr>
        <w:t>(96.313</w:t>
      </w:r>
      <w:r w:rsidR="00B263E5" w:rsidRPr="008B4433">
        <w:rPr>
          <w:rFonts w:ascii="Cambria" w:hAnsi="Cambria"/>
          <w:vertAlign w:val="superscript"/>
        </w:rPr>
        <w:footnoteReference w:id="7"/>
      </w:r>
      <w:r w:rsidR="00B263E5" w:rsidRPr="008B4433">
        <w:rPr>
          <w:rFonts w:ascii="Cambria" w:hAnsi="Cambria"/>
        </w:rPr>
        <w:t xml:space="preserve">), svrstava u narodne knjižnice </w:t>
      </w:r>
      <w:r w:rsidR="00B263E5" w:rsidRPr="008B4433">
        <w:rPr>
          <w:rFonts w:ascii="Cambria" w:hAnsi="Cambria"/>
          <w:b/>
        </w:rPr>
        <w:t>III. tipa</w:t>
      </w:r>
      <w:r w:rsidR="00B263E5" w:rsidRPr="008B4433">
        <w:rPr>
          <w:rFonts w:ascii="Cambria" w:hAnsi="Cambria"/>
        </w:rPr>
        <w:t xml:space="preserve"> odnosno knjižnice koja pokriva područje do 100.000 stanovnika. </w:t>
      </w:r>
      <w:r w:rsidRPr="008B4433">
        <w:rPr>
          <w:rFonts w:ascii="Cambria" w:hAnsi="Cambria"/>
        </w:rPr>
        <w:t xml:space="preserve">U odnosu na trenutno stanje, uvjete djelovanja i financijske mogućnosti, osnovni pravci razvoja Knjižnice određeni su dvojako, i to kroz kontinuitet dvojne djelatnosti, te osamostaljivanje i razdvajanje navedenih funkcija na dvije zasebne ustanove, gradsku knjižnicu kao javnu narodnu knjižnicu općeznanstvenog tipa te sveučilišnu knjižnicu. </w:t>
      </w:r>
    </w:p>
    <w:p w:rsidR="00FC3576" w:rsidRPr="008B4433" w:rsidRDefault="00FC3576" w:rsidP="00122D34">
      <w:pPr>
        <w:spacing w:after="0" w:line="360" w:lineRule="auto"/>
        <w:ind w:firstLine="708"/>
        <w:jc w:val="both"/>
        <w:rPr>
          <w:rFonts w:ascii="Cambria" w:hAnsi="Cambria"/>
        </w:rPr>
      </w:pPr>
      <w:r w:rsidRPr="008B4433">
        <w:rPr>
          <w:rFonts w:ascii="Cambria" w:hAnsi="Cambria"/>
        </w:rPr>
        <w:t>Gradska i sveučilišna knjižnica Osijek posjeduje fond od 56</w:t>
      </w:r>
      <w:r w:rsidR="00F25DEA" w:rsidRPr="008B4433">
        <w:rPr>
          <w:rFonts w:ascii="Cambria" w:hAnsi="Cambria"/>
        </w:rPr>
        <w:t>7</w:t>
      </w:r>
      <w:r w:rsidRPr="008B4433">
        <w:rPr>
          <w:rFonts w:ascii="Cambria" w:hAnsi="Cambria"/>
        </w:rPr>
        <w:t>.</w:t>
      </w:r>
      <w:r w:rsidR="00F25DEA" w:rsidRPr="008B4433">
        <w:rPr>
          <w:rFonts w:ascii="Cambria" w:hAnsi="Cambria"/>
        </w:rPr>
        <w:t>033</w:t>
      </w:r>
      <w:r w:rsidRPr="008B4433">
        <w:rPr>
          <w:rFonts w:ascii="Cambria" w:hAnsi="Cambria"/>
        </w:rPr>
        <w:t xml:space="preserve"> svezaka k</w:t>
      </w:r>
      <w:r w:rsidR="00F25DEA" w:rsidRPr="008B4433">
        <w:rPr>
          <w:rFonts w:ascii="Cambria" w:hAnsi="Cambria"/>
        </w:rPr>
        <w:t>njiga, 866 naslova tekuće periodike, 14.219 jedinica AV građe, 1.380 jedinica e-građe na prijenosnim medijima, 643 e-knjige, 972 igre i igračke, 65.923</w:t>
      </w:r>
      <w:r w:rsidRPr="008B4433">
        <w:rPr>
          <w:rFonts w:ascii="Cambria" w:hAnsi="Cambria"/>
        </w:rPr>
        <w:t xml:space="preserve"> primjeraka ostale građe</w:t>
      </w:r>
      <w:r w:rsidRPr="008B4433">
        <w:rPr>
          <w:rStyle w:val="Referencafusnote"/>
          <w:rFonts w:ascii="Cambria" w:hAnsi="Cambria"/>
        </w:rPr>
        <w:footnoteReference w:id="8"/>
      </w:r>
      <w:r w:rsidRPr="008B4433">
        <w:rPr>
          <w:rFonts w:ascii="Cambria" w:hAnsi="Cambria"/>
        </w:rPr>
        <w:t>. Veličina knjižničnog fonda u odnosu na broj stanovnika (potencijalnih korisnika) je zadovoljavajuća u odnosu na Standarde za narodne knjižnice i iznosi 6,6 knjiga po stanovniku. Svojim zbirkama</w:t>
      </w:r>
      <w:r w:rsidRPr="008B4433">
        <w:rPr>
          <w:rFonts w:ascii="Cambria" w:hAnsi="Cambria"/>
          <w:b/>
        </w:rPr>
        <w:t xml:space="preserve"> </w:t>
      </w:r>
      <w:r w:rsidRPr="008B4433">
        <w:rPr>
          <w:rFonts w:ascii="Cambria" w:hAnsi="Cambria"/>
        </w:rPr>
        <w:t xml:space="preserve">nastoji zadovoljiti zahtjeve društvene zajednice za knjižničnom građom, pristupom novim informacijama kao i informacijskim tehnologijama, osigurati dostupnost informacijama i popularizirati čitanje. </w:t>
      </w:r>
    </w:p>
    <w:p w:rsidR="00FC3576" w:rsidRPr="008B4433" w:rsidRDefault="00FC3576" w:rsidP="00122D34">
      <w:pPr>
        <w:spacing w:after="0" w:line="360" w:lineRule="auto"/>
        <w:ind w:firstLine="708"/>
        <w:jc w:val="both"/>
        <w:rPr>
          <w:rFonts w:ascii="Cambria" w:hAnsi="Cambria"/>
          <w:color w:val="FF0000"/>
        </w:rPr>
      </w:pPr>
      <w:r w:rsidRPr="008B4433">
        <w:rPr>
          <w:rFonts w:ascii="Cambria" w:hAnsi="Cambria"/>
        </w:rPr>
        <w:t xml:space="preserve">Nabavna politika GISKO stoga proizlazi iz njenih zadataka, misije, poslanja, vizije i ciljeva. Usklađuje se i korigira u okvirima postojećih standarda i smjernica, a s obzirom na veličinu populacije </w:t>
      </w:r>
      <w:r w:rsidRPr="008B4433">
        <w:rPr>
          <w:rFonts w:ascii="Cambria" w:hAnsi="Cambria"/>
        </w:rPr>
        <w:lastRenderedPageBreak/>
        <w:t xml:space="preserve">na području koje knjižnična služba obuhvaća, blizinu drugih knjižnica, regionalnu ulogu zbirki, procjenu lokalnih potreba, nakladničke ponude i financijskih mogućnosti, kao i prostornih uvjeta za smještaj svake pojedine zbirke. </w:t>
      </w:r>
    </w:p>
    <w:p w:rsidR="004E395B" w:rsidRPr="008B4433" w:rsidRDefault="00FC3576" w:rsidP="00122D34">
      <w:pPr>
        <w:autoSpaceDE w:val="0"/>
        <w:autoSpaceDN w:val="0"/>
        <w:adjustRightInd w:val="0"/>
        <w:spacing w:after="0" w:line="360" w:lineRule="auto"/>
        <w:ind w:firstLine="708"/>
        <w:jc w:val="both"/>
        <w:rPr>
          <w:rFonts w:ascii="Cambria" w:hAnsi="Cambria"/>
        </w:rPr>
      </w:pPr>
      <w:r w:rsidRPr="008B4433">
        <w:rPr>
          <w:rFonts w:ascii="Cambria" w:hAnsi="Cambria"/>
        </w:rPr>
        <w:t>Pri izgradnji zbirki GISKO nastoji održati opću prepoznatljivost informacijskog, obrazovnog, medijskog i kulturnog središta. Izgradnja zbirke je transparentan proces, a politika na kojoj se ona temelji javna. Jedan od parametara procjene kvalitete izgradnje fonda je temeljen na strukturi nabave. Standardi za narodne knjižnice preporučuju da "knjižnični fond općinske ili gradske narodne knjižnice treba sadržavati (u broju svezaka): 45 % beletristike, 25 % znanstvene i popularno-znanstvene literature, 27 % literature za djecu i 3 % priručne literature. Županijska narodna knjižnica treba imati 45 % znanstvene literature, 35 % beletristike, 15 %  dječje i 5 % priručne literature."</w:t>
      </w:r>
      <w:r w:rsidRPr="008B4433">
        <w:rPr>
          <w:rStyle w:val="Referencafusnote"/>
          <w:rFonts w:ascii="Cambria" w:hAnsi="Cambria"/>
        </w:rPr>
        <w:footnoteReference w:id="9"/>
      </w:r>
      <w:r w:rsidRPr="008B4433">
        <w:rPr>
          <w:rFonts w:ascii="Cambria" w:hAnsi="Cambria"/>
          <w:bCs/>
          <w:iCs/>
        </w:rPr>
        <w:t xml:space="preserve"> Valja imati u vidu produkcijsku ponudu izdavačkih kuća koja ujedno diktira izgradnju zbirki kao i nadopunu fonda lektirnim naslovima koji dodatno obogaćuju zbirku literature za djecu i mlade.</w:t>
      </w:r>
      <w:r w:rsidRPr="008B4433">
        <w:rPr>
          <w:rFonts w:ascii="Cambria" w:hAnsi="Cambria"/>
        </w:rPr>
        <w:t xml:space="preserve"> Uzimajući u obzir zastupljenost pojedinih predmetnih područja u zbirkama dostupnima za posudbu, prevladava područje književnosti (56 %), zatim društvene znanosti (11 %), a slijede područja primijenjenih znanosti, medicine i tehnike (8 %), filozofije, psihologije (6 %), umjetnost, razonoda, sport (6 %) i  geografija, biografija, povijest (5 %). </w:t>
      </w:r>
    </w:p>
    <w:p w:rsidR="00FC3576" w:rsidRPr="008B4433" w:rsidRDefault="00FC3576" w:rsidP="00122D34">
      <w:pPr>
        <w:autoSpaceDE w:val="0"/>
        <w:autoSpaceDN w:val="0"/>
        <w:adjustRightInd w:val="0"/>
        <w:spacing w:after="0" w:line="360" w:lineRule="auto"/>
        <w:ind w:firstLine="708"/>
        <w:jc w:val="both"/>
        <w:rPr>
          <w:rFonts w:ascii="Cambria" w:hAnsi="Cambria"/>
        </w:rPr>
      </w:pPr>
      <w:r w:rsidRPr="008B4433">
        <w:rPr>
          <w:rFonts w:ascii="Cambria" w:hAnsi="Cambria"/>
        </w:rPr>
        <w:t xml:space="preserve">Kupovina, kao način nabave, govoreći o broju primjeraka, odvija se po zadanome ključu, uz određena odstupanja. U pravilu se beletristički naslovi nabavljaju u šest ili četiri primjerka, popularno-znanstvena literatura u tri primjerka. Pojedini naslovi kupuju se samo u jednom primjerku koje se u pravilu smješta u čitaonicu. U slučaju beletrističkih naslova nabavljenih šest primjeraka razvrstava se po odjelima i ograncima prema sljedećem ključu: dva primjerka smještaju se u Središnjoj knjižnici, dok po jedan primjerak odlazi u ogranke (Donji grad, Industrijska četvrt, Jug II i </w:t>
      </w:r>
      <w:proofErr w:type="spellStart"/>
      <w:r w:rsidRPr="008B4433">
        <w:rPr>
          <w:rFonts w:ascii="Cambria" w:hAnsi="Cambria"/>
        </w:rPr>
        <w:t>Retfala</w:t>
      </w:r>
      <w:proofErr w:type="spellEnd"/>
      <w:r w:rsidRPr="008B4433">
        <w:rPr>
          <w:rFonts w:ascii="Cambria" w:hAnsi="Cambria"/>
        </w:rPr>
        <w:t xml:space="preserve">). S obzirom na nedostatak prostora ogranka, manji broj korisnika i učinkovito korištenje dostupnih financijskih sredstava, najmlađi ogranak (Novi grad) popunjava se naslovima koji po procjeni voditelja Posudbenog odjela postanu prekobrojni primjerci u Središnjoj knjižnici, a u pravilu stariji od šest mjeseci. Nabavljena četiri primjerka beletristike smješta se u Središnjoj knjižnici i na ogranke s većim brojem korisnika (Donji grad, Industrija četvrt i </w:t>
      </w:r>
      <w:proofErr w:type="spellStart"/>
      <w:r w:rsidRPr="008B4433">
        <w:rPr>
          <w:rFonts w:ascii="Cambria" w:hAnsi="Cambria"/>
        </w:rPr>
        <w:t>Retfala</w:t>
      </w:r>
      <w:proofErr w:type="spellEnd"/>
      <w:r w:rsidRPr="008B4433">
        <w:rPr>
          <w:rFonts w:ascii="Cambria" w:hAnsi="Cambria"/>
        </w:rPr>
        <w:t xml:space="preserve">). Sva tri primjerka popularno-znanstvene literature ostaju u Središnjoj knjižnici (jedan u čitaonici, a dva za posudbu). </w:t>
      </w:r>
    </w:p>
    <w:p w:rsidR="00FC3576" w:rsidRPr="008B4433" w:rsidRDefault="00FC3576" w:rsidP="00122D34">
      <w:pPr>
        <w:autoSpaceDE w:val="0"/>
        <w:autoSpaceDN w:val="0"/>
        <w:adjustRightInd w:val="0"/>
        <w:spacing w:after="0" w:line="360" w:lineRule="auto"/>
        <w:ind w:firstLine="708"/>
        <w:jc w:val="both"/>
        <w:rPr>
          <w:rFonts w:ascii="Cambria" w:hAnsi="Cambria"/>
          <w:color w:val="FF0000"/>
        </w:rPr>
      </w:pPr>
      <w:r w:rsidRPr="008B4433">
        <w:rPr>
          <w:rFonts w:ascii="Cambria" w:hAnsi="Cambria"/>
        </w:rPr>
        <w:t xml:space="preserve">Zadaća je nabavne politike GISKO kroz plansku i sustavnu nabavu, sukladnu procjeni o vrijednosti građe i korisničkim zahtjevima, osigurati ponudu aktualnih tema i naslova, sadržaje i usluge za cjeloživotno učenje i stjecanje informacijske pismenosti, građu za znanstveno-istraživačke, nastavne i obrazovne potrebe studenata i znanstveno-nastavnog osoblja. U nabavu građe, uključeni su svi stručni djelatnici knjižnice. U svemu tome važno je poznavanje strukture korisnika te njihovi </w:t>
      </w:r>
      <w:r w:rsidRPr="008B4433">
        <w:rPr>
          <w:rFonts w:ascii="Cambria" w:hAnsi="Cambria"/>
        </w:rPr>
        <w:lastRenderedPageBreak/>
        <w:t>pojedinačni prijedlozi. Obrazovna, kulturna, stručna i informacijska razina potreba korisnika te podizanje kvalitete društvenog standarda i ostvarivanje demokratskih prava omogućavanjem slobodnog pristupa informacijama su vodilja u kreiranju i pristupu fonda knjižnice. Premda su potrebe i želje pojedinih kategorija korisnika za građom velike, knjižnica se mora truditi zadovoljiti potrebe i želje za građom nekoliko kategorija korisnika uzimajući u obzir prostorna, ljudska i financijska ograničenja te ograničenja ponude na tržištu knjižnične građe. S obzirom na činjenicu da Knjižnica ima trajno rastući problem nedostatka prostora, izgradnja i održavanje knjižničnih zbirki uvelike ovisi o trenutno raspoloživom prostoru i pred knjižnične djelatnike postavlja izazov stalne i/ili trajne selekcije naslova koji će se nalaziti na policama neposredno dostupni korisnicima</w:t>
      </w:r>
    </w:p>
    <w:bookmarkEnd w:id="0"/>
    <w:bookmarkEnd w:id="1"/>
    <w:p w:rsidR="002C0F0B" w:rsidRPr="008B4433" w:rsidRDefault="002C0F0B" w:rsidP="002C0F0B">
      <w:pPr>
        <w:keepNext/>
        <w:spacing w:after="0" w:line="240" w:lineRule="auto"/>
        <w:jc w:val="both"/>
        <w:outlineLvl w:val="0"/>
        <w:rPr>
          <w:rFonts w:ascii="Cambria" w:hAnsi="Cambria" w:cs="Calibri"/>
          <w:b/>
          <w:noProof/>
        </w:rPr>
      </w:pPr>
    </w:p>
    <w:p w:rsidR="002C0F0B" w:rsidRPr="006A1287" w:rsidRDefault="002C0F0B" w:rsidP="002C0F0B">
      <w:pPr>
        <w:keepNext/>
        <w:spacing w:after="0" w:line="240" w:lineRule="auto"/>
        <w:jc w:val="both"/>
        <w:outlineLvl w:val="0"/>
        <w:rPr>
          <w:rFonts w:ascii="Cambria" w:eastAsia="Times New Roman" w:hAnsi="Cambria" w:cs="Calibri"/>
          <w:bCs/>
          <w:noProof/>
        </w:rPr>
      </w:pPr>
      <w:r w:rsidRPr="006A1287">
        <w:rPr>
          <w:rFonts w:ascii="Cambria" w:eastAsia="Times New Roman" w:hAnsi="Cambria" w:cs="Calibri"/>
          <w:b/>
          <w:bCs/>
          <w:noProof/>
        </w:rPr>
        <w:t xml:space="preserve">Financijski pregled - </w:t>
      </w:r>
      <w:r w:rsidR="008B4433" w:rsidRPr="006A1287">
        <w:rPr>
          <w:rFonts w:ascii="Cambria" w:eastAsia="Times New Roman" w:hAnsi="Cambria" w:cs="Calibri"/>
          <w:b/>
          <w:bCs/>
          <w:noProof/>
        </w:rPr>
        <w:t>Nabava knjižne i neknjižne građe</w:t>
      </w:r>
      <w:r w:rsidR="008B4433" w:rsidRPr="006A1287">
        <w:rPr>
          <w:rFonts w:ascii="Cambria" w:eastAsia="Times New Roman" w:hAnsi="Cambria" w:cs="Calibri"/>
          <w:b/>
          <w:bCs/>
          <w:noProof/>
        </w:rPr>
        <w:tab/>
      </w:r>
      <w:r w:rsidRPr="006A1287">
        <w:rPr>
          <w:rFonts w:ascii="Cambria" w:eastAsia="Times New Roman" w:hAnsi="Cambria" w:cs="Calibri"/>
          <w:b/>
          <w:bCs/>
          <w:noProof/>
        </w:rPr>
        <w:t xml:space="preserve">        </w:t>
      </w:r>
      <w:r w:rsidRPr="006A1287">
        <w:rPr>
          <w:rFonts w:ascii="Cambria" w:eastAsia="Times New Roman" w:hAnsi="Cambria" w:cs="Calibri"/>
          <w:b/>
          <w:bCs/>
          <w:noProof/>
        </w:rPr>
        <w:tab/>
      </w:r>
      <w:r w:rsidRPr="006A1287">
        <w:rPr>
          <w:rFonts w:ascii="Cambria" w:eastAsia="Times New Roman" w:hAnsi="Cambria" w:cs="Calibri"/>
          <w:b/>
          <w:bCs/>
          <w:noProof/>
        </w:rPr>
        <w:tab/>
        <w:t xml:space="preserve">          </w:t>
      </w:r>
      <w:r w:rsidRPr="006A1287">
        <w:rPr>
          <w:rFonts w:ascii="Cambria" w:eastAsia="Times New Roman" w:hAnsi="Cambria" w:cs="Calibri"/>
          <w:b/>
          <w:bCs/>
          <w:noProof/>
        </w:rPr>
        <w:tab/>
        <w:t xml:space="preserve">                                  </w:t>
      </w:r>
    </w:p>
    <w:p w:rsidR="002C0F0B" w:rsidRPr="008B4433" w:rsidRDefault="002C0F0B" w:rsidP="002C0F0B">
      <w:pPr>
        <w:keepNext/>
        <w:spacing w:after="0" w:line="240" w:lineRule="auto"/>
        <w:jc w:val="both"/>
        <w:outlineLvl w:val="0"/>
        <w:rPr>
          <w:rFonts w:ascii="Cambria" w:eastAsia="Times New Roman" w:hAnsi="Cambria" w:cs="Calibri"/>
          <w:bCs/>
          <w:noProof/>
        </w:rPr>
      </w:pPr>
    </w:p>
    <w:p w:rsidR="002C0F0B" w:rsidRPr="008B4433" w:rsidRDefault="002C0F0B" w:rsidP="006A1287">
      <w:pPr>
        <w:spacing w:after="0" w:line="360" w:lineRule="auto"/>
        <w:jc w:val="both"/>
        <w:rPr>
          <w:rFonts w:ascii="Cambria" w:hAnsi="Cambria" w:cs="Calibri"/>
          <w:noProof/>
        </w:rPr>
      </w:pPr>
      <w:r w:rsidRPr="008B4433">
        <w:rPr>
          <w:rFonts w:ascii="Cambria" w:hAnsi="Cambria" w:cs="Calibri"/>
          <w:noProof/>
        </w:rPr>
        <w:t>Sa</w:t>
      </w:r>
      <w:r w:rsidR="008B4433">
        <w:rPr>
          <w:rFonts w:ascii="Cambria" w:hAnsi="Cambria" w:cs="Calibri"/>
          <w:noProof/>
        </w:rPr>
        <w:t>žetak</w:t>
      </w:r>
      <w:r w:rsidRPr="008B4433">
        <w:rPr>
          <w:rFonts w:ascii="Cambria" w:hAnsi="Cambria" w:cs="Calibri"/>
          <w:noProof/>
        </w:rPr>
        <w:t xml:space="preserve"> programa:</w:t>
      </w:r>
    </w:p>
    <w:p w:rsidR="008E537D" w:rsidRPr="008B4433" w:rsidRDefault="002C0F0B" w:rsidP="006A1287">
      <w:pPr>
        <w:spacing w:line="360" w:lineRule="auto"/>
        <w:jc w:val="both"/>
        <w:rPr>
          <w:rFonts w:ascii="Cambria" w:hAnsi="Cambria" w:cs="Calibri"/>
          <w:noProof/>
        </w:rPr>
      </w:pPr>
      <w:r w:rsidRPr="008B4433">
        <w:rPr>
          <w:rFonts w:ascii="Cambria" w:hAnsi="Cambria" w:cs="Calibri"/>
          <w:noProof/>
        </w:rPr>
        <w:t>Nabava knjižne i neknjižne građe: knjiga, periodike (novine i časopisi), AV-građe i dr. građe za potrebe narodne/ gradske funkcije Gradske i sveučilišne knjižnice kao središnje narodne knjižnice Grada Osijeka i Osječko baranjske županije; kupovina tekuće nakladničke produkcije domaćih i stranih izdavača, otkup stare građe, osiguravanje pristupa on-line bazama podataka. Knjižnica će posebnu pozornost posvetiti nabavi kvalitetnih knjiga i druge građe beletrističkog i znanstveno popularnog te referentnog sadržaja za djecu s ciljem razvijanja ljubavi prema knjizi i čitanju te kvalitetnu</w:t>
      </w:r>
      <w:r w:rsidR="006A1287">
        <w:rPr>
          <w:rFonts w:ascii="Cambria" w:hAnsi="Cambria" w:cs="Calibri"/>
          <w:noProof/>
        </w:rPr>
        <w:t xml:space="preserve"> građu na suvremenim medijima. </w:t>
      </w:r>
    </w:p>
    <w:tbl>
      <w:tblPr>
        <w:tblStyle w:val="Reetkatablice"/>
        <w:tblW w:w="0" w:type="auto"/>
        <w:tblLook w:val="04A0" w:firstRow="1" w:lastRow="0" w:firstColumn="1" w:lastColumn="0" w:noHBand="0" w:noVBand="1"/>
      </w:tblPr>
      <w:tblGrid>
        <w:gridCol w:w="2830"/>
        <w:gridCol w:w="2410"/>
      </w:tblGrid>
      <w:tr w:rsidR="008E537D" w:rsidRPr="008B4433" w:rsidTr="008E537D">
        <w:tc>
          <w:tcPr>
            <w:tcW w:w="5240" w:type="dxa"/>
            <w:gridSpan w:val="2"/>
            <w:shd w:val="clear" w:color="auto" w:fill="B4C6E7" w:themeFill="accent5" w:themeFillTint="66"/>
          </w:tcPr>
          <w:p w:rsidR="008E537D" w:rsidRPr="006E4759" w:rsidRDefault="008E537D" w:rsidP="002C0F0B">
            <w:pPr>
              <w:jc w:val="both"/>
              <w:rPr>
                <w:rFonts w:ascii="Cambria" w:hAnsi="Cambria" w:cs="Calibri"/>
                <w:b/>
                <w:noProof/>
                <w:sz w:val="22"/>
                <w:szCs w:val="22"/>
              </w:rPr>
            </w:pPr>
            <w:r w:rsidRPr="006E4759">
              <w:rPr>
                <w:rFonts w:ascii="Cambria" w:hAnsi="Cambria" w:cs="Calibri"/>
                <w:b/>
                <w:noProof/>
                <w:sz w:val="22"/>
                <w:szCs w:val="22"/>
              </w:rPr>
              <w:t>Planira se nabava slijedeće građe:</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Knjige tiskane</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10.000 svezaka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Knjige elektroničke</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 xml:space="preserve">200 licenci  </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Novine</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15 naslova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Časopisi</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30 naslova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Grafičke zbirke</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5 naslova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CD</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100 naslova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CD-ROM</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20 naslova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DVD</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100 naslova</w:t>
            </w:r>
            <w:r w:rsidRPr="008B4433">
              <w:rPr>
                <w:rFonts w:ascii="Cambria" w:hAnsi="Cambria" w:cs="Calibri"/>
                <w:noProof/>
                <w:sz w:val="22"/>
                <w:szCs w:val="22"/>
              </w:rPr>
              <w:tab/>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Igračke</w:t>
            </w:r>
            <w:r w:rsidRPr="008B4433">
              <w:rPr>
                <w:rFonts w:ascii="Cambria" w:hAnsi="Cambria" w:cs="Calibri"/>
                <w:noProof/>
                <w:sz w:val="22"/>
                <w:szCs w:val="22"/>
              </w:rPr>
              <w:tab/>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30 primjeraka</w:t>
            </w:r>
          </w:p>
        </w:tc>
      </w:tr>
    </w:tbl>
    <w:p w:rsidR="002C0F0B" w:rsidRPr="008B4433" w:rsidRDefault="008E537D" w:rsidP="008E537D">
      <w:pPr>
        <w:spacing w:after="0"/>
        <w:jc w:val="both"/>
        <w:rPr>
          <w:rFonts w:ascii="Cambria" w:hAnsi="Cambria" w:cs="Calibri"/>
          <w:noProof/>
        </w:rPr>
      </w:pPr>
      <w:r w:rsidRPr="008B4433">
        <w:rPr>
          <w:rFonts w:ascii="Cambria" w:hAnsi="Cambria" w:cs="Calibri"/>
          <w:noProof/>
        </w:rPr>
        <w:tab/>
        <w:t xml:space="preserve">  </w:t>
      </w:r>
    </w:p>
    <w:p w:rsidR="002C0F0B" w:rsidRPr="008B4433" w:rsidRDefault="002C0F0B" w:rsidP="002C0F0B">
      <w:pPr>
        <w:jc w:val="both"/>
        <w:rPr>
          <w:rFonts w:ascii="Cambria" w:hAnsi="Cambria" w:cs="Calibri"/>
          <w:noProof/>
        </w:rPr>
      </w:pPr>
      <w:r w:rsidRPr="008B4433">
        <w:rPr>
          <w:rFonts w:ascii="Cambria" w:hAnsi="Cambria" w:cs="Calibri"/>
          <w:noProof/>
        </w:rPr>
        <w:t>Način izvođenja programa:</w:t>
      </w:r>
    </w:p>
    <w:p w:rsidR="002C0F0B" w:rsidRPr="008B4433" w:rsidRDefault="002C0F0B" w:rsidP="002C0F0B">
      <w:pPr>
        <w:jc w:val="both"/>
        <w:rPr>
          <w:rFonts w:ascii="Cambria" w:hAnsi="Cambria" w:cs="Calibri"/>
          <w:noProof/>
        </w:rPr>
      </w:pPr>
      <w:r w:rsidRPr="008B4433">
        <w:rPr>
          <w:rFonts w:ascii="Cambria" w:hAnsi="Cambria" w:cs="Calibri"/>
          <w:noProof/>
        </w:rPr>
        <w:t>Samostalno putem Službe nabave GISKO uz učešće Povjerenstva za nabavu knjižne i neknjižne građe GISKO i drugih stručnih djelatnika GISKO. Nabava će se vršiti direktno putem izdavača, putem ovlaštenih predstavnika, sajmova, knjižarske i antikvarne mreže RH te otkupom od fizičkih i pravnih lica.</w:t>
      </w:r>
    </w:p>
    <w:p w:rsidR="008E537D" w:rsidRDefault="008E537D" w:rsidP="002C0F0B">
      <w:pPr>
        <w:spacing w:after="0"/>
        <w:jc w:val="both"/>
        <w:rPr>
          <w:rFonts w:ascii="Cambria" w:hAnsi="Cambria" w:cs="Calibri"/>
          <w:noProof/>
        </w:rPr>
      </w:pPr>
    </w:p>
    <w:p w:rsidR="00CC197E" w:rsidRDefault="00CC197E" w:rsidP="002C0F0B">
      <w:pPr>
        <w:spacing w:after="0"/>
        <w:jc w:val="both"/>
        <w:rPr>
          <w:rFonts w:ascii="Cambria" w:hAnsi="Cambria" w:cs="Calibri"/>
          <w:noProof/>
        </w:rPr>
      </w:pPr>
    </w:p>
    <w:p w:rsidR="00CC197E" w:rsidRDefault="00CC197E" w:rsidP="002C0F0B">
      <w:pPr>
        <w:spacing w:after="0"/>
        <w:jc w:val="both"/>
        <w:rPr>
          <w:rFonts w:ascii="Cambria" w:hAnsi="Cambria" w:cs="Calibri"/>
          <w:noProof/>
        </w:rPr>
      </w:pPr>
    </w:p>
    <w:p w:rsidR="00CC197E" w:rsidRDefault="00CC197E" w:rsidP="002C0F0B">
      <w:pPr>
        <w:spacing w:after="0"/>
        <w:jc w:val="both"/>
        <w:rPr>
          <w:rFonts w:ascii="Cambria" w:hAnsi="Cambria" w:cs="Calibri"/>
          <w:noProof/>
        </w:rPr>
      </w:pPr>
    </w:p>
    <w:p w:rsidR="00CC197E" w:rsidRPr="008B4433" w:rsidRDefault="00CC197E" w:rsidP="002C0F0B">
      <w:pPr>
        <w:spacing w:after="0"/>
        <w:jc w:val="both"/>
        <w:rPr>
          <w:rFonts w:ascii="Cambria" w:hAnsi="Cambria" w:cs="Calibri"/>
          <w:noProof/>
        </w:rPr>
      </w:pPr>
    </w:p>
    <w:tbl>
      <w:tblPr>
        <w:tblStyle w:val="Reetkatablice"/>
        <w:tblW w:w="0" w:type="auto"/>
        <w:tblLook w:val="04A0" w:firstRow="1" w:lastRow="0" w:firstColumn="1" w:lastColumn="0" w:noHBand="0" w:noVBand="1"/>
      </w:tblPr>
      <w:tblGrid>
        <w:gridCol w:w="2830"/>
        <w:gridCol w:w="2410"/>
      </w:tblGrid>
      <w:tr w:rsidR="008E537D" w:rsidRPr="008B4433" w:rsidTr="008B4433">
        <w:tc>
          <w:tcPr>
            <w:tcW w:w="5240" w:type="dxa"/>
            <w:gridSpan w:val="2"/>
            <w:shd w:val="clear" w:color="auto" w:fill="B4C6E7" w:themeFill="accent5" w:themeFillTint="66"/>
          </w:tcPr>
          <w:p w:rsidR="008E537D" w:rsidRPr="006E4759" w:rsidRDefault="008E537D" w:rsidP="008B4433">
            <w:pPr>
              <w:jc w:val="both"/>
              <w:rPr>
                <w:rFonts w:ascii="Cambria" w:hAnsi="Cambria" w:cs="Calibri"/>
                <w:b/>
                <w:noProof/>
                <w:sz w:val="22"/>
                <w:szCs w:val="22"/>
              </w:rPr>
            </w:pPr>
            <w:r w:rsidRPr="006E4759">
              <w:rPr>
                <w:rFonts w:ascii="Cambria" w:hAnsi="Cambria" w:cs="Calibri"/>
                <w:b/>
                <w:noProof/>
                <w:sz w:val="22"/>
                <w:szCs w:val="22"/>
              </w:rPr>
              <w:t>Financijski plan:</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Knjige tiskane</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60.000,00 €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Knjige elektroničke</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6.000,00 €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Periodika</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9.000,00 €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AV-građa</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2.000,00 €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Igračke</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3.000,00€</w:t>
            </w:r>
          </w:p>
        </w:tc>
      </w:tr>
    </w:tbl>
    <w:p w:rsidR="002C0F0B" w:rsidRPr="008B4433" w:rsidRDefault="002C0F0B" w:rsidP="002C0F0B">
      <w:pPr>
        <w:jc w:val="both"/>
        <w:rPr>
          <w:rFonts w:ascii="Cambria" w:hAnsi="Cambria" w:cs="Calibri"/>
          <w:noProof/>
        </w:rPr>
      </w:pPr>
    </w:p>
    <w:tbl>
      <w:tblPr>
        <w:tblStyle w:val="Reetkatablice"/>
        <w:tblW w:w="0" w:type="auto"/>
        <w:tblLook w:val="04A0" w:firstRow="1" w:lastRow="0" w:firstColumn="1" w:lastColumn="0" w:noHBand="0" w:noVBand="1"/>
      </w:tblPr>
      <w:tblGrid>
        <w:gridCol w:w="2830"/>
        <w:gridCol w:w="2410"/>
      </w:tblGrid>
      <w:tr w:rsidR="008E537D" w:rsidRPr="008B4433" w:rsidTr="008B4433">
        <w:tc>
          <w:tcPr>
            <w:tcW w:w="5240" w:type="dxa"/>
            <w:gridSpan w:val="2"/>
            <w:shd w:val="clear" w:color="auto" w:fill="B4C6E7" w:themeFill="accent5" w:themeFillTint="66"/>
          </w:tcPr>
          <w:p w:rsidR="008E537D" w:rsidRPr="006E4759" w:rsidRDefault="008E537D" w:rsidP="008B4433">
            <w:pPr>
              <w:jc w:val="both"/>
              <w:rPr>
                <w:rFonts w:ascii="Cambria" w:hAnsi="Cambria" w:cs="Calibri"/>
                <w:b/>
                <w:noProof/>
                <w:sz w:val="22"/>
                <w:szCs w:val="22"/>
              </w:rPr>
            </w:pPr>
            <w:r w:rsidRPr="006E4759">
              <w:rPr>
                <w:rFonts w:ascii="Cambria" w:hAnsi="Cambria" w:cs="Calibri"/>
                <w:b/>
                <w:noProof/>
                <w:sz w:val="22"/>
                <w:szCs w:val="22"/>
              </w:rPr>
              <w:t>Izvori sredstava:</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Proračun Ministarstva kulture i medija</w:t>
            </w:r>
          </w:p>
        </w:tc>
        <w:tc>
          <w:tcPr>
            <w:tcW w:w="2410" w:type="dxa"/>
          </w:tcPr>
          <w:p w:rsidR="008E537D" w:rsidRPr="008B4433" w:rsidRDefault="008E537D" w:rsidP="008B4433">
            <w:pPr>
              <w:jc w:val="both"/>
              <w:rPr>
                <w:rFonts w:ascii="Cambria" w:hAnsi="Cambria" w:cs="Calibri"/>
                <w:noProof/>
                <w:sz w:val="22"/>
                <w:szCs w:val="22"/>
              </w:rPr>
            </w:pPr>
          </w:p>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80.000,00 €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Proračun Grada Osijeka</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30.000,00 €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Vlastiti i ostali prihodi</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50.000,00 €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Kapitalne donacije fizičkih i pravnih osoba</w:t>
            </w:r>
          </w:p>
        </w:tc>
        <w:tc>
          <w:tcPr>
            <w:tcW w:w="2410" w:type="dxa"/>
          </w:tcPr>
          <w:p w:rsidR="008E537D" w:rsidRPr="008B4433" w:rsidRDefault="008E537D" w:rsidP="008B4433">
            <w:pPr>
              <w:jc w:val="both"/>
              <w:rPr>
                <w:rFonts w:ascii="Cambria" w:hAnsi="Cambria" w:cs="Calibri"/>
                <w:noProof/>
                <w:sz w:val="22"/>
                <w:szCs w:val="22"/>
              </w:rPr>
            </w:pPr>
          </w:p>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30.000,00 €</w:t>
            </w:r>
          </w:p>
        </w:tc>
      </w:tr>
      <w:tr w:rsidR="008E537D" w:rsidRPr="008B4433" w:rsidTr="008B4433">
        <w:tc>
          <w:tcPr>
            <w:tcW w:w="2830" w:type="dxa"/>
          </w:tcPr>
          <w:p w:rsidR="008E537D" w:rsidRPr="008B4433" w:rsidRDefault="008E537D" w:rsidP="008B4433">
            <w:pPr>
              <w:jc w:val="both"/>
              <w:rPr>
                <w:rFonts w:ascii="Cambria" w:hAnsi="Cambria" w:cs="Calibri"/>
                <w:b/>
                <w:noProof/>
                <w:sz w:val="22"/>
                <w:szCs w:val="22"/>
              </w:rPr>
            </w:pPr>
            <w:r w:rsidRPr="008B4433">
              <w:rPr>
                <w:rFonts w:ascii="Cambria" w:hAnsi="Cambria" w:cs="Calibri"/>
                <w:b/>
                <w:noProof/>
                <w:sz w:val="22"/>
                <w:szCs w:val="22"/>
              </w:rPr>
              <w:t>Ukupno</w:t>
            </w:r>
          </w:p>
        </w:tc>
        <w:tc>
          <w:tcPr>
            <w:tcW w:w="2410" w:type="dxa"/>
          </w:tcPr>
          <w:p w:rsidR="008E537D" w:rsidRPr="008B4433" w:rsidRDefault="008E537D" w:rsidP="008B4433">
            <w:pPr>
              <w:jc w:val="both"/>
              <w:rPr>
                <w:rFonts w:ascii="Cambria" w:hAnsi="Cambria" w:cs="Calibri"/>
                <w:b/>
                <w:noProof/>
                <w:sz w:val="22"/>
                <w:szCs w:val="22"/>
              </w:rPr>
            </w:pPr>
            <w:r w:rsidRPr="008B4433">
              <w:rPr>
                <w:rFonts w:ascii="Cambria" w:hAnsi="Cambria" w:cs="Calibri"/>
                <w:b/>
                <w:noProof/>
                <w:sz w:val="22"/>
                <w:szCs w:val="22"/>
              </w:rPr>
              <w:t>190.000,00€</w:t>
            </w:r>
          </w:p>
        </w:tc>
      </w:tr>
    </w:tbl>
    <w:p w:rsidR="00E425BD" w:rsidRPr="008B4433" w:rsidRDefault="00E425BD" w:rsidP="008B4433">
      <w:pPr>
        <w:spacing w:after="0" w:line="360" w:lineRule="auto"/>
        <w:rPr>
          <w:rFonts w:ascii="Cambria" w:hAnsi="Cambria" w:cs="Times New Roman"/>
        </w:rPr>
      </w:pPr>
    </w:p>
    <w:p w:rsidR="00CC197E" w:rsidRDefault="00CC197E" w:rsidP="008B4433">
      <w:pPr>
        <w:spacing w:after="0" w:line="360" w:lineRule="auto"/>
        <w:rPr>
          <w:rFonts w:ascii="Cambria" w:hAnsi="Cambria" w:cs="Times New Roman"/>
        </w:rPr>
      </w:pPr>
    </w:p>
    <w:p w:rsidR="00CC197E" w:rsidRDefault="00CC197E" w:rsidP="008B4433">
      <w:pPr>
        <w:spacing w:after="0" w:line="360" w:lineRule="auto"/>
        <w:rPr>
          <w:rFonts w:ascii="Cambria" w:hAnsi="Cambria" w:cs="Times New Roman"/>
        </w:rPr>
      </w:pPr>
    </w:p>
    <w:p w:rsidR="00CC197E" w:rsidRDefault="00CC197E" w:rsidP="008B4433">
      <w:pPr>
        <w:spacing w:after="0" w:line="360" w:lineRule="auto"/>
        <w:rPr>
          <w:rFonts w:ascii="Cambria" w:hAnsi="Cambria" w:cs="Times New Roman"/>
        </w:rPr>
      </w:pPr>
    </w:p>
    <w:p w:rsidR="008B4433" w:rsidRPr="008B4433" w:rsidRDefault="008B4433" w:rsidP="008B4433">
      <w:pPr>
        <w:spacing w:after="0" w:line="360" w:lineRule="auto"/>
        <w:rPr>
          <w:rFonts w:ascii="Cambria" w:hAnsi="Cambria" w:cs="Times New Roman"/>
        </w:rPr>
      </w:pPr>
      <w:r w:rsidRPr="008B4433">
        <w:rPr>
          <w:rFonts w:ascii="Cambria" w:hAnsi="Cambria" w:cs="Times New Roman"/>
        </w:rPr>
        <w:t>Voditelj Službe nabave:</w:t>
      </w:r>
    </w:p>
    <w:p w:rsidR="008B4433" w:rsidRPr="008B4433" w:rsidRDefault="008B4433" w:rsidP="008B4433">
      <w:pPr>
        <w:spacing w:after="0" w:line="360" w:lineRule="auto"/>
        <w:rPr>
          <w:rFonts w:ascii="Cambria" w:hAnsi="Cambria" w:cs="Times New Roman"/>
        </w:rPr>
      </w:pPr>
      <w:r w:rsidRPr="008B4433">
        <w:rPr>
          <w:rFonts w:ascii="Cambria" w:hAnsi="Cambria" w:cs="Times New Roman"/>
        </w:rPr>
        <w:t xml:space="preserve">Srđan Lukačević, knjižničarski savjetnik </w:t>
      </w:r>
    </w:p>
    <w:sectPr w:rsidR="008B4433" w:rsidRPr="008B4433" w:rsidSect="00D93838">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D34" w:rsidRDefault="00122D34" w:rsidP="00294D60">
      <w:pPr>
        <w:spacing w:after="0" w:line="240" w:lineRule="auto"/>
      </w:pPr>
      <w:r>
        <w:separator/>
      </w:r>
    </w:p>
  </w:endnote>
  <w:endnote w:type="continuationSeparator" w:id="0">
    <w:p w:rsidR="00122D34" w:rsidRDefault="00122D34" w:rsidP="0029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34" w:rsidRPr="00D93838" w:rsidRDefault="00122D34" w:rsidP="00D93838">
    <w:pPr>
      <w:pStyle w:val="Podnoje"/>
      <w:ind w:left="-567"/>
      <w:jc w:val="center"/>
      <w:rPr>
        <w:rFonts w:ascii="Garamond" w:hAnsi="Garamond"/>
        <w:color w:val="000080"/>
      </w:rPr>
    </w:pPr>
    <w:r>
      <w:rPr>
        <w:rFonts w:ascii="Garamond" w:hAnsi="Garamond"/>
        <w:noProof/>
        <w:color w:val="000080"/>
        <w:lang w:eastAsia="hr-HR"/>
      </w:rPr>
      <mc:AlternateContent>
        <mc:Choice Requires="wps">
          <w:drawing>
            <wp:anchor distT="0" distB="0" distL="114300" distR="114300" simplePos="0" relativeHeight="251663360" behindDoc="0" locked="0" layoutInCell="1" allowOverlap="1" wp14:anchorId="37D4D11A" wp14:editId="7A6696DA">
              <wp:simplePos x="0" y="0"/>
              <wp:positionH relativeFrom="column">
                <wp:posOffset>3759855</wp:posOffset>
              </wp:positionH>
              <wp:positionV relativeFrom="paragraph">
                <wp:posOffset>57785</wp:posOffset>
              </wp:positionV>
              <wp:extent cx="45085" cy="45085"/>
              <wp:effectExtent l="0" t="0" r="0" b="0"/>
              <wp:wrapNone/>
              <wp:docPr id="3" name="Dijagram toka: Poveznik 3"/>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0C0AB" id="_x0000_t120" coordsize="21600,21600" o:spt="120" path="m10800,qx,10800,10800,21600,21600,10800,10800,xe">
              <v:path gradientshapeok="t" o:connecttype="custom" o:connectlocs="10800,0;3163,3163;0,10800;3163,18437;10800,21600;18437,18437;21600,10800;18437,3163" textboxrect="3163,3163,18437,18437"/>
            </v:shapetype>
            <v:shape id="Dijagram toka: Poveznik 3" o:spid="_x0000_s1026" type="#_x0000_t120" style="position:absolute;margin-left:296.05pt;margin-top:4.55pt;width:3.5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" fillcolor="navy" stroked="f" strokeweight="1pt">
              <v:stroke joinstyle="miter"/>
            </v:shape>
          </w:pict>
        </mc:Fallback>
      </mc:AlternateContent>
    </w:r>
    <w:r>
      <w:rPr>
        <w:rFonts w:ascii="Garamond" w:hAnsi="Garamond"/>
        <w:noProof/>
        <w:color w:val="000080"/>
        <w:lang w:eastAsia="hr-HR"/>
      </w:rPr>
      <mc:AlternateContent>
        <mc:Choice Requires="wps">
          <w:drawing>
            <wp:anchor distT="0" distB="0" distL="114300" distR="114300" simplePos="0" relativeHeight="251665408" behindDoc="0" locked="0" layoutInCell="1" allowOverlap="1" wp14:anchorId="37D4D11A" wp14:editId="7A6696DA">
              <wp:simplePos x="0" y="0"/>
              <wp:positionH relativeFrom="column">
                <wp:posOffset>4953040</wp:posOffset>
              </wp:positionH>
              <wp:positionV relativeFrom="paragraph">
                <wp:posOffset>55245</wp:posOffset>
              </wp:positionV>
              <wp:extent cx="45085" cy="45085"/>
              <wp:effectExtent l="0" t="0" r="0" b="0"/>
              <wp:wrapNone/>
              <wp:docPr id="4" name="Dijagram toka: Poveznik 4"/>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19B39" id="Dijagram toka: Poveznik 4" o:spid="_x0000_s1026" type="#_x0000_t120" style="position:absolute;margin-left:390pt;margin-top:4.35pt;width:3.5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" fillcolor="navy" stroked="f" strokeweight="1pt">
              <v:stroke joinstyle="miter"/>
            </v:shape>
          </w:pict>
        </mc:Fallback>
      </mc:AlternateContent>
    </w:r>
    <w:r>
      <w:rPr>
        <w:rFonts w:ascii="Garamond" w:hAnsi="Garamond"/>
        <w:noProof/>
        <w:color w:val="000080"/>
        <w:lang w:eastAsia="hr-HR"/>
      </w:rPr>
      <mc:AlternateContent>
        <mc:Choice Requires="wps">
          <w:drawing>
            <wp:anchor distT="0" distB="0" distL="114300" distR="114300" simplePos="0" relativeHeight="251669504" behindDoc="0" locked="0" layoutInCell="1" allowOverlap="1" wp14:anchorId="00683E5C" wp14:editId="3A2D10D6">
              <wp:simplePos x="0" y="0"/>
              <wp:positionH relativeFrom="column">
                <wp:posOffset>3876891</wp:posOffset>
              </wp:positionH>
              <wp:positionV relativeFrom="paragraph">
                <wp:posOffset>202358</wp:posOffset>
              </wp:positionV>
              <wp:extent cx="45719" cy="45719"/>
              <wp:effectExtent l="0" t="0" r="0" b="0"/>
              <wp:wrapNone/>
              <wp:docPr id="7" name="Dijagram toka: Poveznik 7"/>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5D1F7" id="Dijagram toka: Poveznik 7" o:spid="_x0000_s1026" type="#_x0000_t120" style="position:absolute;margin-left:305.25pt;margin-top:15.95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" fillcolor="navy" stroked="f" strokeweight="1pt">
              <v:stroke joinstyle="miter"/>
            </v:shape>
          </w:pict>
        </mc:Fallback>
      </mc:AlternateContent>
    </w:r>
    <w:r>
      <w:rPr>
        <w:rFonts w:ascii="Garamond" w:hAnsi="Garamond"/>
        <w:noProof/>
        <w:color w:val="000080"/>
        <w:lang w:eastAsia="hr-HR"/>
      </w:rPr>
      <mc:AlternateContent>
        <mc:Choice Requires="wps">
          <w:drawing>
            <wp:anchor distT="0" distB="0" distL="114300" distR="114300" simplePos="0" relativeHeight="251667456" behindDoc="0" locked="0" layoutInCell="1" allowOverlap="1" wp14:anchorId="2E0EF2D7" wp14:editId="0E86E3AC">
              <wp:simplePos x="0" y="0"/>
              <wp:positionH relativeFrom="column">
                <wp:posOffset>1898630</wp:posOffset>
              </wp:positionH>
              <wp:positionV relativeFrom="paragraph">
                <wp:posOffset>201930</wp:posOffset>
              </wp:positionV>
              <wp:extent cx="45719" cy="45719"/>
              <wp:effectExtent l="0" t="0" r="0" b="0"/>
              <wp:wrapNone/>
              <wp:docPr id="5" name="Dijagram toka: Poveznik 5"/>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1F555" id="Dijagram toka: Poveznik 5" o:spid="_x0000_s1026" type="#_x0000_t120" style="position:absolute;margin-left:149.5pt;margin-top:15.9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" fillcolor="navy" stroked="f" strokeweight="1pt">
              <v:stroke joinstyle="miter"/>
            </v:shape>
          </w:pict>
        </mc:Fallback>
      </mc:AlternateContent>
    </w:r>
    <w:r>
      <w:rPr>
        <w:rFonts w:ascii="Garamond" w:hAnsi="Garamond"/>
        <w:noProof/>
        <w:color w:val="000080"/>
        <w:lang w:eastAsia="hr-HR"/>
      </w:rPr>
      <mc:AlternateContent>
        <mc:Choice Requires="wps">
          <w:drawing>
            <wp:anchor distT="0" distB="0" distL="114300" distR="114300" simplePos="0" relativeHeight="251661312" behindDoc="0" locked="0" layoutInCell="1" allowOverlap="1">
              <wp:simplePos x="0" y="0"/>
              <wp:positionH relativeFrom="column">
                <wp:posOffset>1748075</wp:posOffset>
              </wp:positionH>
              <wp:positionV relativeFrom="paragraph">
                <wp:posOffset>57150</wp:posOffset>
              </wp:positionV>
              <wp:extent cx="45719" cy="45719"/>
              <wp:effectExtent l="0" t="0" r="0" b="0"/>
              <wp:wrapNone/>
              <wp:docPr id="2" name="Dijagram toka: Poveznik 2"/>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B347C" id="Dijagram toka: Poveznik 2" o:spid="_x0000_s1026" type="#_x0000_t120" style="position:absolute;margin-left:137.65pt;margin-top:4.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" fillcolor="navy" stroked="f" strokeweight="1pt">
              <v:stroke joinstyle="miter"/>
            </v:shape>
          </w:pict>
        </mc:Fallback>
      </mc:AlternateContent>
    </w:r>
    <w:r w:rsidRPr="00D93838">
      <w:rPr>
        <w:rFonts w:ascii="Garamond" w:hAnsi="Garamond"/>
        <w:color w:val="000080"/>
      </w:rPr>
      <w:t xml:space="preserve">Gradska i sveučilišna knjižnica Osijek   </w:t>
    </w:r>
    <w:r>
      <w:rPr>
        <w:rFonts w:ascii="Garamond" w:hAnsi="Garamond"/>
        <w:color w:val="000080"/>
      </w:rPr>
      <w:t xml:space="preserve"> </w:t>
    </w:r>
    <w:r w:rsidRPr="00D93838">
      <w:rPr>
        <w:rFonts w:ascii="Garamond" w:hAnsi="Garamond"/>
        <w:color w:val="000080"/>
      </w:rPr>
      <w:t xml:space="preserve">Europska avenija 24, 31000 Osijek   </w:t>
    </w:r>
    <w:r>
      <w:rPr>
        <w:rFonts w:ascii="Garamond" w:hAnsi="Garamond"/>
        <w:color w:val="000080"/>
      </w:rPr>
      <w:t xml:space="preserve"> </w:t>
    </w:r>
    <w:r w:rsidRPr="00D93838">
      <w:rPr>
        <w:rFonts w:ascii="Garamond" w:hAnsi="Garamond"/>
        <w:color w:val="000080"/>
      </w:rPr>
      <w:t xml:space="preserve">+385 (0)31 211 218  </w:t>
    </w:r>
    <w:r>
      <w:rPr>
        <w:rFonts w:ascii="Garamond" w:hAnsi="Garamond"/>
        <w:color w:val="000080"/>
      </w:rPr>
      <w:t xml:space="preserve"> </w:t>
    </w:r>
    <w:r w:rsidRPr="00D93838">
      <w:rPr>
        <w:rFonts w:ascii="Garamond" w:hAnsi="Garamond"/>
        <w:color w:val="000080"/>
      </w:rPr>
      <w:t xml:space="preserve"> gisko@gskos.hr OIB: 46627536930   </w:t>
    </w:r>
    <w:r>
      <w:rPr>
        <w:rFonts w:ascii="Garamond" w:hAnsi="Garamond"/>
        <w:color w:val="000080"/>
      </w:rPr>
      <w:t xml:space="preserve"> </w:t>
    </w:r>
    <w:r w:rsidRPr="00D93838">
      <w:rPr>
        <w:rFonts w:ascii="Garamond" w:hAnsi="Garamond"/>
        <w:color w:val="000080"/>
      </w:rPr>
      <w:t xml:space="preserve">IBAN: HR6723400091110548337   </w:t>
    </w:r>
    <w:r>
      <w:rPr>
        <w:rFonts w:ascii="Garamond" w:hAnsi="Garamond"/>
        <w:color w:val="000080"/>
      </w:rPr>
      <w:t xml:space="preserve"> </w:t>
    </w:r>
    <w:r w:rsidRPr="00D93838">
      <w:rPr>
        <w:rFonts w:ascii="Garamond" w:hAnsi="Garamond"/>
        <w:color w:val="000080"/>
      </w:rPr>
      <w:t>MB: 03014347</w:t>
    </w:r>
  </w:p>
  <w:p w:rsidR="00122D34" w:rsidRPr="00837131" w:rsidRDefault="00122D34" w:rsidP="00D93838">
    <w:pPr>
      <w:pStyle w:val="Podnoje"/>
      <w:ind w:left="-567"/>
      <w:jc w:val="center"/>
      <w:rPr>
        <w:color w:val="0000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D34" w:rsidRDefault="00122D34" w:rsidP="00294D60">
      <w:pPr>
        <w:spacing w:after="0" w:line="240" w:lineRule="auto"/>
      </w:pPr>
      <w:r>
        <w:separator/>
      </w:r>
    </w:p>
  </w:footnote>
  <w:footnote w:type="continuationSeparator" w:id="0">
    <w:p w:rsidR="00122D34" w:rsidRDefault="00122D34" w:rsidP="00294D60">
      <w:pPr>
        <w:spacing w:after="0" w:line="240" w:lineRule="auto"/>
      </w:pPr>
      <w:r>
        <w:continuationSeparator/>
      </w:r>
    </w:p>
  </w:footnote>
  <w:footnote w:id="1">
    <w:p w:rsidR="00122D34" w:rsidRPr="00B263E5" w:rsidRDefault="00122D34" w:rsidP="006E4759">
      <w:pPr>
        <w:pStyle w:val="Tekstfusnote"/>
        <w:rPr>
          <w:lang w:val="hr-HR"/>
        </w:rPr>
      </w:pPr>
      <w:r>
        <w:rPr>
          <w:rStyle w:val="Referencafusnote"/>
        </w:rPr>
        <w:footnoteRef/>
      </w:r>
      <w:r>
        <w:t xml:space="preserve"> </w:t>
      </w:r>
      <w:r>
        <w:rPr>
          <w:lang w:val="hr-HR"/>
        </w:rPr>
        <w:t>U daljnjem tekstu GISKO</w:t>
      </w:r>
    </w:p>
  </w:footnote>
  <w:footnote w:id="2">
    <w:p w:rsidR="00122D34" w:rsidRPr="00485081" w:rsidRDefault="00122D34" w:rsidP="006E4759">
      <w:pPr>
        <w:spacing w:after="0" w:line="240" w:lineRule="auto"/>
        <w:rPr>
          <w:sz w:val="20"/>
          <w:szCs w:val="20"/>
        </w:rPr>
      </w:pPr>
      <w:r w:rsidRPr="00485081">
        <w:rPr>
          <w:rStyle w:val="Referencafusnote"/>
          <w:sz w:val="20"/>
          <w:szCs w:val="20"/>
        </w:rPr>
        <w:footnoteRef/>
      </w:r>
      <w:r>
        <w:rPr>
          <w:sz w:val="20"/>
          <w:szCs w:val="20"/>
        </w:rPr>
        <w:t xml:space="preserve"> </w:t>
      </w:r>
      <w:r w:rsidRPr="00485081">
        <w:rPr>
          <w:sz w:val="20"/>
          <w:szCs w:val="20"/>
        </w:rPr>
        <w:t>UNESCO-ov Manifest</w:t>
      </w:r>
      <w:r>
        <w:rPr>
          <w:sz w:val="20"/>
          <w:szCs w:val="20"/>
        </w:rPr>
        <w:t xml:space="preserve"> za narodne knjižnice </w:t>
      </w:r>
      <w:r w:rsidRPr="00485081">
        <w:rPr>
          <w:sz w:val="20"/>
          <w:szCs w:val="20"/>
        </w:rPr>
        <w:t xml:space="preserve"> </w:t>
      </w:r>
      <w:r>
        <w:rPr>
          <w:sz w:val="20"/>
          <w:szCs w:val="20"/>
        </w:rPr>
        <w:t xml:space="preserve">1994. / prevela Aleksandra Horvat. URL: </w:t>
      </w:r>
      <w:hyperlink r:id="rId1" w:history="1">
        <w:r w:rsidRPr="005525DC">
          <w:rPr>
            <w:rStyle w:val="Hiperveza"/>
            <w:sz w:val="20"/>
            <w:szCs w:val="20"/>
          </w:rPr>
          <w:t>http://dzs.ffzg.unizg.hr/text/UNESCOv_manifest_za_narodne_knjiznice.htm</w:t>
        </w:r>
      </w:hyperlink>
      <w:r>
        <w:rPr>
          <w:sz w:val="20"/>
          <w:szCs w:val="20"/>
        </w:rPr>
        <w:t xml:space="preserve"> (2021-04-02)</w:t>
      </w:r>
    </w:p>
  </w:footnote>
  <w:footnote w:id="3">
    <w:p w:rsidR="00122D34" w:rsidRPr="00485081" w:rsidRDefault="00122D34" w:rsidP="006E4759">
      <w:pPr>
        <w:spacing w:after="0" w:line="240" w:lineRule="auto"/>
      </w:pPr>
      <w:r w:rsidRPr="00485081">
        <w:rPr>
          <w:rStyle w:val="Referencafusnote"/>
          <w:sz w:val="20"/>
          <w:szCs w:val="20"/>
        </w:rPr>
        <w:footnoteRef/>
      </w:r>
      <w:r w:rsidRPr="00485081">
        <w:rPr>
          <w:sz w:val="20"/>
          <w:szCs w:val="20"/>
        </w:rPr>
        <w:t xml:space="preserve"> Narodna knjižnica : IFLA-ine i UNESCO-ove smjernice za razvoj službi i usluga. Zagreb : Hrvatsko knjižničarsko društvo, 2003.</w:t>
      </w:r>
    </w:p>
  </w:footnote>
  <w:footnote w:id="4">
    <w:p w:rsidR="00122D34" w:rsidRPr="00485081" w:rsidRDefault="00122D34" w:rsidP="006E4759">
      <w:pPr>
        <w:pStyle w:val="Tekstfusnote"/>
        <w:rPr>
          <w:lang w:val="hr-HR"/>
        </w:rPr>
      </w:pPr>
      <w:r w:rsidRPr="00485081">
        <w:rPr>
          <w:rStyle w:val="Referencafusnote"/>
          <w:lang w:val="hr-HR"/>
        </w:rPr>
        <w:footnoteRef/>
      </w:r>
      <w:r w:rsidRPr="00485081">
        <w:rPr>
          <w:lang w:val="hr-HR"/>
        </w:rPr>
        <w:t xml:space="preserve"> </w:t>
      </w:r>
      <w:proofErr w:type="spellStart"/>
      <w:r>
        <w:rPr>
          <w:rFonts w:ascii="Cambria" w:hAnsi="Cambria"/>
        </w:rPr>
        <w:t>Narodne</w:t>
      </w:r>
      <w:proofErr w:type="spellEnd"/>
      <w:r>
        <w:rPr>
          <w:rFonts w:ascii="Cambria" w:hAnsi="Cambria"/>
        </w:rPr>
        <w:t xml:space="preserve"> </w:t>
      </w:r>
      <w:proofErr w:type="spellStart"/>
      <w:r>
        <w:rPr>
          <w:rFonts w:ascii="Cambria" w:hAnsi="Cambria"/>
        </w:rPr>
        <w:t>novine</w:t>
      </w:r>
      <w:proofErr w:type="spellEnd"/>
      <w:r>
        <w:rPr>
          <w:rFonts w:ascii="Cambria" w:hAnsi="Cambria"/>
        </w:rPr>
        <w:t xml:space="preserve">. </w:t>
      </w:r>
      <w:proofErr w:type="spellStart"/>
      <w:r w:rsidRPr="009F2B53">
        <w:rPr>
          <w:rFonts w:ascii="Cambria" w:hAnsi="Cambria"/>
        </w:rPr>
        <w:t>Zakon</w:t>
      </w:r>
      <w:proofErr w:type="spellEnd"/>
      <w:r w:rsidRPr="009F2B53">
        <w:rPr>
          <w:rFonts w:ascii="Cambria" w:hAnsi="Cambria"/>
        </w:rPr>
        <w:t xml:space="preserve"> o </w:t>
      </w:r>
      <w:proofErr w:type="spellStart"/>
      <w:r w:rsidRPr="009F2B53">
        <w:rPr>
          <w:rFonts w:ascii="Cambria" w:hAnsi="Cambria"/>
        </w:rPr>
        <w:t>knjižnicama</w:t>
      </w:r>
      <w:proofErr w:type="spellEnd"/>
      <w:r w:rsidRPr="009F2B53">
        <w:rPr>
          <w:rFonts w:ascii="Cambria" w:hAnsi="Cambria"/>
        </w:rPr>
        <w:t xml:space="preserve"> </w:t>
      </w:r>
      <w:proofErr w:type="spellStart"/>
      <w:r w:rsidRPr="009F2B53">
        <w:rPr>
          <w:rFonts w:ascii="Cambria" w:hAnsi="Cambria"/>
        </w:rPr>
        <w:t>i</w:t>
      </w:r>
      <w:proofErr w:type="spellEnd"/>
      <w:r w:rsidRPr="009F2B53">
        <w:rPr>
          <w:rFonts w:ascii="Cambria" w:hAnsi="Cambria"/>
        </w:rPr>
        <w:t xml:space="preserve"> </w:t>
      </w:r>
      <w:proofErr w:type="spellStart"/>
      <w:r w:rsidRPr="009F2B53">
        <w:rPr>
          <w:rFonts w:ascii="Cambria" w:hAnsi="Cambria"/>
        </w:rPr>
        <w:t>knjižničnoj</w:t>
      </w:r>
      <w:proofErr w:type="spellEnd"/>
      <w:r w:rsidRPr="009F2B53">
        <w:rPr>
          <w:rFonts w:ascii="Cambria" w:hAnsi="Cambria"/>
        </w:rPr>
        <w:t xml:space="preserve"> </w:t>
      </w:r>
      <w:proofErr w:type="spellStart"/>
      <w:r w:rsidRPr="009F2B53">
        <w:rPr>
          <w:rFonts w:ascii="Cambria" w:hAnsi="Cambria"/>
        </w:rPr>
        <w:t>djelatnosti</w:t>
      </w:r>
      <w:proofErr w:type="spellEnd"/>
      <w:r>
        <w:rPr>
          <w:rFonts w:ascii="Cambria" w:hAnsi="Cambria"/>
        </w:rPr>
        <w:t xml:space="preserve"> (NN 17/19, 98/19, 114/22, 36/24) </w:t>
      </w:r>
      <w:r w:rsidRPr="003731AE">
        <w:rPr>
          <w:rFonts w:ascii="Cambria" w:hAnsi="Cambria"/>
        </w:rPr>
        <w:t xml:space="preserve"> </w:t>
      </w:r>
    </w:p>
  </w:footnote>
  <w:footnote w:id="5">
    <w:p w:rsidR="00122D34" w:rsidRPr="006A1287" w:rsidRDefault="00122D34" w:rsidP="00FC3576">
      <w:pPr>
        <w:pStyle w:val="Tekstfusnote"/>
        <w:jc w:val="both"/>
        <w:rPr>
          <w:lang w:val="hr-HR"/>
        </w:rPr>
      </w:pPr>
      <w:r w:rsidRPr="006A1287">
        <w:rPr>
          <w:rStyle w:val="Referencafusnote"/>
          <w:lang w:val="hr-HR"/>
        </w:rPr>
        <w:footnoteRef/>
      </w:r>
      <w:r w:rsidRPr="006A1287">
        <w:rPr>
          <w:lang w:val="hr-HR"/>
        </w:rPr>
        <w:t xml:space="preserve"> Zakonom o visokim učilištima (NN 96/93, čl. 154 i NN 59/96 – pročišćeni tekst, čl. 178) osnivačka i vlasnička prava nad knjižnicom prenesena su na Sveučilište J. J. Strossmayera u Osijeku. Navedenim zakonom Knjižnica je definirana kao ustanova čija djelatnost osigurava cjelovitost i potrebni standard sustava visoke naobrazbe na Sveučilištu, a u knjižničnom smislu kao sveučilišna/znanstvena knjižnica. </w:t>
      </w:r>
    </w:p>
  </w:footnote>
  <w:footnote w:id="6">
    <w:p w:rsidR="00122D34" w:rsidRPr="006A1287" w:rsidRDefault="00122D34" w:rsidP="00FC3576">
      <w:pPr>
        <w:pStyle w:val="Tekstfusnote"/>
        <w:jc w:val="both"/>
        <w:rPr>
          <w:lang w:val="hr-HR"/>
        </w:rPr>
      </w:pPr>
      <w:r w:rsidRPr="006A1287">
        <w:rPr>
          <w:rStyle w:val="Referencafusnote"/>
          <w:lang w:val="hr-HR"/>
        </w:rPr>
        <w:footnoteRef/>
      </w:r>
      <w:r w:rsidRPr="006A1287">
        <w:rPr>
          <w:lang w:val="hr-HR"/>
        </w:rPr>
        <w:t xml:space="preserve"> U skladu s odredbama Zakona o knjižnicama i knjižničnoj djelatnosti (NN17/2019), čl. 9: "Općina i gradovi dužni su osnovati narodnu knjižnicu kao javnu ustanovu osim u slučaju kada djelatnost narodne knjižnice već ne obavlja koja sveučilišna ili općeznanstvena knjižnica na njihovom području" sklopljen je Ugovor između Grada Osijeka – Poglavarstva i Sveučilišta J. J. Strossmayera u Osijeku s jedne strane i GISKO s druge. </w:t>
      </w:r>
    </w:p>
  </w:footnote>
  <w:footnote w:id="7">
    <w:p w:rsidR="00122D34" w:rsidRPr="006A1287" w:rsidRDefault="00122D34" w:rsidP="00B263E5">
      <w:pPr>
        <w:pStyle w:val="Tekstfusnote"/>
      </w:pPr>
      <w:r w:rsidRPr="006A1287">
        <w:rPr>
          <w:rStyle w:val="Referencafusnote"/>
        </w:rPr>
        <w:footnoteRef/>
      </w:r>
      <w:r w:rsidRPr="006A1287">
        <w:t xml:space="preserve"> </w:t>
      </w:r>
      <w:proofErr w:type="spellStart"/>
      <w:r w:rsidRPr="006A1287">
        <w:t>Konačni</w:t>
      </w:r>
      <w:proofErr w:type="spellEnd"/>
      <w:r w:rsidRPr="006A1287">
        <w:t xml:space="preserve"> </w:t>
      </w:r>
      <w:proofErr w:type="spellStart"/>
      <w:r w:rsidRPr="006A1287">
        <w:t>rezultati</w:t>
      </w:r>
      <w:proofErr w:type="spellEnd"/>
      <w:r w:rsidRPr="006A1287">
        <w:t xml:space="preserve"> </w:t>
      </w:r>
      <w:proofErr w:type="spellStart"/>
      <w:r w:rsidRPr="006A1287">
        <w:t>popisa</w:t>
      </w:r>
      <w:proofErr w:type="spellEnd"/>
      <w:r w:rsidRPr="006A1287">
        <w:t xml:space="preserve"> 2021. URL:  </w:t>
      </w:r>
      <w:hyperlink r:id="rId2" w:history="1">
        <w:r w:rsidRPr="006A1287">
          <w:rPr>
            <w:rStyle w:val="Hiperveza"/>
          </w:rPr>
          <w:t>https://dzs.gov.hr/vijesti/objavljeni-konacni-rezultati-popisa-2021/1270</w:t>
        </w:r>
      </w:hyperlink>
      <w:r w:rsidRPr="006A1287">
        <w:t xml:space="preserve"> (2023-01-19)</w:t>
      </w:r>
    </w:p>
  </w:footnote>
  <w:footnote w:id="8">
    <w:p w:rsidR="00122D34" w:rsidRPr="00485081" w:rsidRDefault="00122D34" w:rsidP="00FC3576">
      <w:pPr>
        <w:pStyle w:val="Tekstfusnote"/>
        <w:jc w:val="both"/>
        <w:rPr>
          <w:lang w:val="hr-HR"/>
        </w:rPr>
      </w:pPr>
      <w:r w:rsidRPr="006A1287">
        <w:rPr>
          <w:rStyle w:val="Referencafusnote"/>
        </w:rPr>
        <w:footnoteRef/>
      </w:r>
      <w:r w:rsidRPr="006A1287">
        <w:rPr>
          <w:lang w:val="de-DE"/>
        </w:rPr>
        <w:t xml:space="preserve"> </w:t>
      </w:r>
      <w:r w:rsidRPr="006A1287">
        <w:rPr>
          <w:lang w:val="hr-HR"/>
        </w:rPr>
        <w:t xml:space="preserve">Stanje na dan 17.12.2024. Citirano prema: Godišnje izvješće : Gradska i sveučilišna knjižnica Osijek. 2023. URL: </w:t>
      </w:r>
      <w:hyperlink r:id="rId3" w:history="1">
        <w:r w:rsidRPr="006A1287">
          <w:rPr>
            <w:rStyle w:val="Hiperveza"/>
          </w:rPr>
          <w:t>https://www.gskos.unios.hr/wp-content/uploads/2018/05/gi-gisko2024-tisak_merged_compressed.pdf</w:t>
        </w:r>
      </w:hyperlink>
      <w:r w:rsidRPr="006A1287">
        <w:t xml:space="preserve"> </w:t>
      </w:r>
      <w:r w:rsidRPr="006A1287">
        <w:rPr>
          <w:lang w:val="hr-HR"/>
        </w:rPr>
        <w:t>(2027-12-17)</w:t>
      </w:r>
    </w:p>
  </w:footnote>
  <w:footnote w:id="9">
    <w:p w:rsidR="00122D34" w:rsidRPr="00485081" w:rsidRDefault="00122D34" w:rsidP="00FC3576">
      <w:pPr>
        <w:pStyle w:val="Tekstfusnote"/>
        <w:jc w:val="both"/>
        <w:rPr>
          <w:lang w:val="hr-HR"/>
        </w:rPr>
      </w:pPr>
      <w:r w:rsidRPr="00485081">
        <w:rPr>
          <w:rStyle w:val="Referencafusnote"/>
        </w:rPr>
        <w:footnoteRef/>
      </w:r>
      <w:r w:rsidRPr="00485081">
        <w:rPr>
          <w:lang w:val="hr-HR"/>
        </w:rPr>
        <w:t>Standardi za narodne knjižnice u Republici Hrvatskoj</w:t>
      </w:r>
      <w:r>
        <w:rPr>
          <w:lang w:val="hr-HR"/>
        </w:rPr>
        <w:t>.</w:t>
      </w:r>
      <w:r w:rsidRPr="00F25DEA">
        <w:rPr>
          <w:rFonts w:ascii="Cambria" w:hAnsi="Cambria"/>
        </w:rPr>
        <w:t xml:space="preserve"> </w:t>
      </w:r>
      <w:r w:rsidRPr="00844251">
        <w:rPr>
          <w:rFonts w:ascii="Cambria" w:hAnsi="Cambria"/>
        </w:rPr>
        <w:t xml:space="preserve">Nav. </w:t>
      </w:r>
      <w:proofErr w:type="spellStart"/>
      <w:r w:rsidRPr="00844251">
        <w:rPr>
          <w:rFonts w:ascii="Cambria" w:hAnsi="Cambria"/>
        </w:rPr>
        <w:t>Dj</w:t>
      </w:r>
      <w:proofErr w:type="spellEnd"/>
      <w:r w:rsidRPr="00844251">
        <w:rPr>
          <w:rFonts w:ascii="Cambria" w:hAnsi="Cambria"/>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34" w:rsidRPr="00C0385C" w:rsidRDefault="00122D34" w:rsidP="00C0385C">
    <w:pPr>
      <w:pStyle w:val="Zaglavlje"/>
      <w:spacing w:before="240"/>
      <w:rPr>
        <w:rFonts w:ascii="Garamond" w:hAnsi="Garamond"/>
        <w:color w:val="000080"/>
        <w:sz w:val="16"/>
        <w:szCs w:val="16"/>
      </w:rPr>
    </w:pPr>
    <w:r w:rsidRPr="00C0385C">
      <w:rPr>
        <w:noProof/>
        <w:color w:val="000080"/>
        <w:sz w:val="16"/>
        <w:szCs w:val="16"/>
        <w:lang w:eastAsia="hr-HR"/>
      </w:rPr>
      <w:drawing>
        <wp:anchor distT="0" distB="0" distL="114300" distR="114300" simplePos="0" relativeHeight="251659264" behindDoc="0" locked="0" layoutInCell="1" allowOverlap="1">
          <wp:simplePos x="0" y="0"/>
          <wp:positionH relativeFrom="margin">
            <wp:posOffset>-219710</wp:posOffset>
          </wp:positionH>
          <wp:positionV relativeFrom="margin">
            <wp:posOffset>-963295</wp:posOffset>
          </wp:positionV>
          <wp:extent cx="1435100" cy="82740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35100" cy="82740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b/>
        <w:color w:val="000080"/>
        <w:sz w:val="16"/>
        <w:szCs w:val="16"/>
      </w:rPr>
      <w:t xml:space="preserve">    </w:t>
    </w:r>
    <w:r w:rsidRPr="00C0385C">
      <w:rPr>
        <w:rFonts w:ascii="Garamond" w:hAnsi="Garamond"/>
        <w:b/>
        <w:color w:val="000080"/>
        <w:sz w:val="16"/>
        <w:szCs w:val="16"/>
      </w:rPr>
      <w:t>SVEUČILIŠTE J. J. STROSSMAYERA U OSIJEKU</w:t>
    </w:r>
    <w:r>
      <w:rPr>
        <w:rFonts w:ascii="Garamond" w:hAnsi="Garamond"/>
        <w:color w:val="000080"/>
        <w:sz w:val="16"/>
        <w:szCs w:val="16"/>
      </w:rPr>
      <w:t xml:space="preserve"> </w:t>
    </w:r>
    <w:r w:rsidRPr="00C0385C">
      <w:rPr>
        <w:rFonts w:ascii="Garamond" w:hAnsi="Garamond"/>
        <w:b/>
        <w:color w:val="000080"/>
        <w:sz w:val="16"/>
        <w:szCs w:val="16"/>
      </w:rPr>
      <w:t>GRADSKA I SVEUČILIŠNA KNJIŽNICA OSIJEK</w:t>
    </w:r>
  </w:p>
  <w:p w:rsidR="00122D34" w:rsidRDefault="00122D34" w:rsidP="00053062">
    <w:pPr>
      <w:pStyle w:val="Zaglavlje"/>
      <w:jc w:val="right"/>
      <w:rPr>
        <w:rFonts w:ascii="Garamond" w:hAnsi="Garamond"/>
        <w:b/>
        <w:color w:val="000080"/>
        <w:sz w:val="24"/>
        <w:szCs w:val="24"/>
      </w:rPr>
    </w:pPr>
  </w:p>
  <w:p w:rsidR="00122D34" w:rsidRPr="00053062" w:rsidRDefault="00122D34" w:rsidP="00053062">
    <w:pPr>
      <w:pStyle w:val="Zaglavlje"/>
      <w:jc w:val="right"/>
      <w:rPr>
        <w:rFonts w:ascii="Garamond" w:hAnsi="Garamond"/>
        <w:b/>
        <w:color w:val="000080"/>
        <w:sz w:val="24"/>
        <w:szCs w:val="24"/>
      </w:rPr>
    </w:pPr>
  </w:p>
  <w:p w:rsidR="00122D34" w:rsidRPr="00053062" w:rsidRDefault="00122D34" w:rsidP="00053062">
    <w:pPr>
      <w:pStyle w:val="Zaglavlje"/>
      <w:jc w:val="right"/>
      <w:rPr>
        <w:rFonts w:ascii="Garamond" w:hAnsi="Garamond"/>
        <w:b/>
        <w:color w:val="000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035"/>
    <w:multiLevelType w:val="hybridMultilevel"/>
    <w:tmpl w:val="76F4EF0A"/>
    <w:lvl w:ilvl="0" w:tplc="A6D6EAE8">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54300"/>
    <w:multiLevelType w:val="hybridMultilevel"/>
    <w:tmpl w:val="91B2EF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3B1DB4"/>
    <w:multiLevelType w:val="hybridMultilevel"/>
    <w:tmpl w:val="B70267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641C4"/>
    <w:multiLevelType w:val="multilevel"/>
    <w:tmpl w:val="65F00342"/>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3EB6E99"/>
    <w:multiLevelType w:val="multilevel"/>
    <w:tmpl w:val="500A0D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C842CD"/>
    <w:multiLevelType w:val="hybridMultilevel"/>
    <w:tmpl w:val="E2CE8AC4"/>
    <w:lvl w:ilvl="0" w:tplc="A6D6EAE8">
      <w:start w:val="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D05E09"/>
    <w:multiLevelType w:val="multilevel"/>
    <w:tmpl w:val="8CBA5824"/>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073673"/>
    <w:multiLevelType w:val="hybridMultilevel"/>
    <w:tmpl w:val="CE5299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6628FD"/>
    <w:multiLevelType w:val="hybridMultilevel"/>
    <w:tmpl w:val="BEB4AC1E"/>
    <w:lvl w:ilvl="0" w:tplc="69428C7A">
      <w:start w:val="4"/>
      <w:numFmt w:val="decimal"/>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F82700"/>
    <w:multiLevelType w:val="hybridMultilevel"/>
    <w:tmpl w:val="D2A838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E469A3"/>
    <w:multiLevelType w:val="multilevel"/>
    <w:tmpl w:val="88021620"/>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1" w15:restartNumberingAfterBreak="0">
    <w:nsid w:val="462F2B44"/>
    <w:multiLevelType w:val="multilevel"/>
    <w:tmpl w:val="E4B816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12491D"/>
    <w:multiLevelType w:val="hybridMultilevel"/>
    <w:tmpl w:val="71DEB9B8"/>
    <w:lvl w:ilvl="0" w:tplc="54584A36">
      <w:start w:val="4"/>
      <w:numFmt w:val="decimal"/>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A311019"/>
    <w:multiLevelType w:val="hybridMultilevel"/>
    <w:tmpl w:val="8194A4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E3E62B0"/>
    <w:multiLevelType w:val="hybridMultilevel"/>
    <w:tmpl w:val="81A06D1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621E6E76"/>
    <w:multiLevelType w:val="multilevel"/>
    <w:tmpl w:val="EC90F8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AA05753"/>
    <w:multiLevelType w:val="hybridMultilevel"/>
    <w:tmpl w:val="C7580B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7D109F"/>
    <w:multiLevelType w:val="hybridMultilevel"/>
    <w:tmpl w:val="2E282442"/>
    <w:lvl w:ilvl="0" w:tplc="1F3A52F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70D732D4"/>
    <w:multiLevelType w:val="hybridMultilevel"/>
    <w:tmpl w:val="15DAD28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730E396C"/>
    <w:multiLevelType w:val="hybridMultilevel"/>
    <w:tmpl w:val="0AF8138C"/>
    <w:lvl w:ilvl="0" w:tplc="041A000F">
      <w:start w:val="7"/>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74F94D46"/>
    <w:multiLevelType w:val="multilevel"/>
    <w:tmpl w:val="1BC8387E"/>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751F68B3"/>
    <w:multiLevelType w:val="multilevel"/>
    <w:tmpl w:val="CA4664F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62C5718"/>
    <w:multiLevelType w:val="hybridMultilevel"/>
    <w:tmpl w:val="8CDE8E68"/>
    <w:lvl w:ilvl="0" w:tplc="A6D6EA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71524"/>
    <w:multiLevelType w:val="hybridMultilevel"/>
    <w:tmpl w:val="BA7A8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F67065"/>
    <w:multiLevelType w:val="multilevel"/>
    <w:tmpl w:val="5EB2381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C22778A"/>
    <w:multiLevelType w:val="hybridMultilevel"/>
    <w:tmpl w:val="612E97F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F5897"/>
    <w:multiLevelType w:val="hybridMultilevel"/>
    <w:tmpl w:val="B5E8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0"/>
  </w:num>
  <w:num w:numId="4">
    <w:abstractNumId w:val="24"/>
  </w:num>
  <w:num w:numId="5">
    <w:abstractNumId w:val="21"/>
  </w:num>
  <w:num w:numId="6">
    <w:abstractNumId w:val="5"/>
  </w:num>
  <w:num w:numId="7">
    <w:abstractNumId w:val="2"/>
  </w:num>
  <w:num w:numId="8">
    <w:abstractNumId w:val="25"/>
  </w:num>
  <w:num w:numId="9">
    <w:abstractNumId w:val="0"/>
  </w:num>
  <w:num w:numId="10">
    <w:abstractNumId w:val="18"/>
  </w:num>
  <w:num w:numId="11">
    <w:abstractNumId w:val="12"/>
  </w:num>
  <w:num w:numId="12">
    <w:abstractNumId w:val="8"/>
  </w:num>
  <w:num w:numId="13">
    <w:abstractNumId w:val="10"/>
  </w:num>
  <w:num w:numId="14">
    <w:abstractNumId w:val="19"/>
  </w:num>
  <w:num w:numId="15">
    <w:abstractNumId w:val="11"/>
  </w:num>
  <w:num w:numId="16">
    <w:abstractNumId w:val="4"/>
  </w:num>
  <w:num w:numId="17">
    <w:abstractNumId w:val="3"/>
  </w:num>
  <w:num w:numId="18">
    <w:abstractNumId w:val="6"/>
  </w:num>
  <w:num w:numId="19">
    <w:abstractNumId w:val="26"/>
  </w:num>
  <w:num w:numId="20">
    <w:abstractNumId w:val="17"/>
  </w:num>
  <w:num w:numId="21">
    <w:abstractNumId w:val="23"/>
  </w:num>
  <w:num w:numId="22">
    <w:abstractNumId w:val="9"/>
  </w:num>
  <w:num w:numId="23">
    <w:abstractNumId w:val="14"/>
  </w:num>
  <w:num w:numId="24">
    <w:abstractNumId w:val="16"/>
  </w:num>
  <w:num w:numId="25">
    <w:abstractNumId w:val="13"/>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60"/>
    <w:rsid w:val="00053062"/>
    <w:rsid w:val="0007322B"/>
    <w:rsid w:val="000D0284"/>
    <w:rsid w:val="00122D34"/>
    <w:rsid w:val="0018147D"/>
    <w:rsid w:val="00201C7C"/>
    <w:rsid w:val="002206B3"/>
    <w:rsid w:val="002519A2"/>
    <w:rsid w:val="00294D60"/>
    <w:rsid w:val="002C0F0B"/>
    <w:rsid w:val="003D2F96"/>
    <w:rsid w:val="00416372"/>
    <w:rsid w:val="004D2C64"/>
    <w:rsid w:val="004E395B"/>
    <w:rsid w:val="00543D5E"/>
    <w:rsid w:val="00664D8D"/>
    <w:rsid w:val="006A1287"/>
    <w:rsid w:val="006C5894"/>
    <w:rsid w:val="006E4759"/>
    <w:rsid w:val="00782CEB"/>
    <w:rsid w:val="007B72DF"/>
    <w:rsid w:val="007E3709"/>
    <w:rsid w:val="00837131"/>
    <w:rsid w:val="008429B1"/>
    <w:rsid w:val="00892BC9"/>
    <w:rsid w:val="008B4433"/>
    <w:rsid w:val="008B4B4A"/>
    <w:rsid w:val="008E537D"/>
    <w:rsid w:val="00934BF2"/>
    <w:rsid w:val="00961C64"/>
    <w:rsid w:val="00A33DAA"/>
    <w:rsid w:val="00A765AF"/>
    <w:rsid w:val="00AA14D0"/>
    <w:rsid w:val="00B01F74"/>
    <w:rsid w:val="00B069B5"/>
    <w:rsid w:val="00B263E5"/>
    <w:rsid w:val="00BD7C9C"/>
    <w:rsid w:val="00C0385C"/>
    <w:rsid w:val="00C61FBB"/>
    <w:rsid w:val="00CC197E"/>
    <w:rsid w:val="00D31C43"/>
    <w:rsid w:val="00D61C75"/>
    <w:rsid w:val="00D93838"/>
    <w:rsid w:val="00DC7170"/>
    <w:rsid w:val="00E425BD"/>
    <w:rsid w:val="00E859C2"/>
    <w:rsid w:val="00F25DEA"/>
    <w:rsid w:val="00FC35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399F43"/>
  <w15:chartTrackingRefBased/>
  <w15:docId w15:val="{DC6E3475-D025-421E-B9E7-C63B1D82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DAA"/>
    <w:pPr>
      <w:spacing w:line="256" w:lineRule="auto"/>
    </w:pPr>
  </w:style>
  <w:style w:type="paragraph" w:styleId="Naslov2">
    <w:name w:val="heading 2"/>
    <w:basedOn w:val="Normal"/>
    <w:next w:val="Normal"/>
    <w:link w:val="Naslov2Char"/>
    <w:qFormat/>
    <w:rsid w:val="00FC3576"/>
    <w:pPr>
      <w:keepNext/>
      <w:spacing w:before="240" w:after="60" w:line="240" w:lineRule="auto"/>
      <w:outlineLvl w:val="1"/>
    </w:pPr>
    <w:rPr>
      <w:rFonts w:ascii="Calibri Light" w:eastAsia="Times New Roman" w:hAnsi="Calibri Light" w:cs="Times New Roman"/>
      <w:b/>
      <w:bCs/>
      <w:i/>
      <w:iCs/>
      <w:sz w:val="28"/>
      <w:szCs w:val="28"/>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94D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4D60"/>
  </w:style>
  <w:style w:type="paragraph" w:styleId="Podnoje">
    <w:name w:val="footer"/>
    <w:basedOn w:val="Normal"/>
    <w:link w:val="PodnojeChar"/>
    <w:unhideWhenUsed/>
    <w:rsid w:val="00294D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4D60"/>
  </w:style>
  <w:style w:type="character" w:styleId="Hiperveza">
    <w:name w:val="Hyperlink"/>
    <w:uiPriority w:val="99"/>
    <w:unhideWhenUsed/>
    <w:rsid w:val="007E3709"/>
    <w:rPr>
      <w:color w:val="0000FF"/>
      <w:u w:val="single"/>
    </w:rPr>
  </w:style>
  <w:style w:type="paragraph" w:styleId="Bezproreda">
    <w:name w:val="No Spacing"/>
    <w:uiPriority w:val="1"/>
    <w:qFormat/>
    <w:rsid w:val="00BD7C9C"/>
    <w:pPr>
      <w:spacing w:after="0" w:line="240" w:lineRule="auto"/>
    </w:pPr>
    <w:rPr>
      <w:rFonts w:ascii="Calibri" w:eastAsia="Calibri" w:hAnsi="Calibri" w:cs="Times New Roman"/>
      <w:lang w:val="hr-BA"/>
    </w:rPr>
  </w:style>
  <w:style w:type="character" w:styleId="SlijeenaHiperveza">
    <w:name w:val="FollowedHyperlink"/>
    <w:basedOn w:val="Zadanifontodlomka"/>
    <w:unhideWhenUsed/>
    <w:rsid w:val="00892BC9"/>
    <w:rPr>
      <w:color w:val="954F72" w:themeColor="followedHyperlink"/>
      <w:u w:val="single"/>
    </w:rPr>
  </w:style>
  <w:style w:type="character" w:customStyle="1" w:styleId="Naslov2Char">
    <w:name w:val="Naslov 2 Char"/>
    <w:basedOn w:val="Zadanifontodlomka"/>
    <w:link w:val="Naslov2"/>
    <w:rsid w:val="00FC3576"/>
    <w:rPr>
      <w:rFonts w:ascii="Calibri Light" w:eastAsia="Times New Roman" w:hAnsi="Calibri Light" w:cs="Times New Roman"/>
      <w:b/>
      <w:bCs/>
      <w:i/>
      <w:iCs/>
      <w:sz w:val="28"/>
      <w:szCs w:val="28"/>
      <w:lang w:val="en-US"/>
    </w:rPr>
  </w:style>
  <w:style w:type="paragraph" w:styleId="Tekstfusnote">
    <w:name w:val="footnote text"/>
    <w:basedOn w:val="Normal"/>
    <w:link w:val="TekstfusnoteChar"/>
    <w:uiPriority w:val="99"/>
    <w:rsid w:val="00FC3576"/>
    <w:pPr>
      <w:spacing w:after="0" w:line="240" w:lineRule="auto"/>
    </w:pPr>
    <w:rPr>
      <w:rFonts w:ascii="Times New Roman" w:eastAsia="Times New Roman" w:hAnsi="Times New Roman" w:cs="Times New Roman"/>
      <w:sz w:val="20"/>
      <w:szCs w:val="20"/>
      <w:lang w:val="en-US"/>
    </w:rPr>
  </w:style>
  <w:style w:type="character" w:customStyle="1" w:styleId="TekstfusnoteChar">
    <w:name w:val="Tekst fusnote Char"/>
    <w:basedOn w:val="Zadanifontodlomka"/>
    <w:link w:val="Tekstfusnote"/>
    <w:uiPriority w:val="99"/>
    <w:rsid w:val="00FC3576"/>
    <w:rPr>
      <w:rFonts w:ascii="Times New Roman" w:eastAsia="Times New Roman" w:hAnsi="Times New Roman" w:cs="Times New Roman"/>
      <w:sz w:val="20"/>
      <w:szCs w:val="20"/>
      <w:lang w:val="en-US"/>
    </w:rPr>
  </w:style>
  <w:style w:type="character" w:styleId="Referencafusnote">
    <w:name w:val="footnote reference"/>
    <w:uiPriority w:val="99"/>
    <w:rsid w:val="00FC3576"/>
    <w:rPr>
      <w:vertAlign w:val="superscript"/>
    </w:rPr>
  </w:style>
  <w:style w:type="character" w:styleId="Brojstranice">
    <w:name w:val="page number"/>
    <w:basedOn w:val="Zadanifontodlomka"/>
    <w:rsid w:val="00FC3576"/>
  </w:style>
  <w:style w:type="character" w:styleId="Naglaeno">
    <w:name w:val="Strong"/>
    <w:uiPriority w:val="22"/>
    <w:qFormat/>
    <w:rsid w:val="00FC3576"/>
    <w:rPr>
      <w:b/>
      <w:bCs/>
    </w:rPr>
  </w:style>
  <w:style w:type="paragraph" w:styleId="Obinitekst">
    <w:name w:val="Plain Text"/>
    <w:basedOn w:val="Normal"/>
    <w:link w:val="ObinitekstChar"/>
    <w:rsid w:val="00FC3576"/>
    <w:pPr>
      <w:spacing w:after="0" w:line="240" w:lineRule="auto"/>
    </w:pPr>
    <w:rPr>
      <w:rFonts w:ascii="Courier New" w:eastAsia="Times New Roman" w:hAnsi="Courier New" w:cs="Courier New"/>
      <w:sz w:val="20"/>
      <w:szCs w:val="20"/>
    </w:rPr>
  </w:style>
  <w:style w:type="character" w:customStyle="1" w:styleId="ObinitekstChar">
    <w:name w:val="Obični tekst Char"/>
    <w:basedOn w:val="Zadanifontodlomka"/>
    <w:link w:val="Obinitekst"/>
    <w:rsid w:val="00FC3576"/>
    <w:rPr>
      <w:rFonts w:ascii="Courier New" w:eastAsia="Times New Roman" w:hAnsi="Courier New" w:cs="Courier New"/>
      <w:sz w:val="20"/>
      <w:szCs w:val="20"/>
    </w:rPr>
  </w:style>
  <w:style w:type="paragraph" w:styleId="Tekstbalonia">
    <w:name w:val="Balloon Text"/>
    <w:basedOn w:val="Normal"/>
    <w:link w:val="TekstbaloniaChar"/>
    <w:rsid w:val="00FC3576"/>
    <w:pPr>
      <w:spacing w:after="0" w:line="240" w:lineRule="auto"/>
    </w:pPr>
    <w:rPr>
      <w:rFonts w:ascii="Segoe UI" w:eastAsia="Times New Roman" w:hAnsi="Segoe UI" w:cs="Segoe UI"/>
      <w:sz w:val="18"/>
      <w:szCs w:val="18"/>
      <w:lang w:val="en-US"/>
    </w:rPr>
  </w:style>
  <w:style w:type="character" w:customStyle="1" w:styleId="TekstbaloniaChar">
    <w:name w:val="Tekst balončića Char"/>
    <w:basedOn w:val="Zadanifontodlomka"/>
    <w:link w:val="Tekstbalonia"/>
    <w:rsid w:val="00FC3576"/>
    <w:rPr>
      <w:rFonts w:ascii="Segoe UI" w:eastAsia="Times New Roman" w:hAnsi="Segoe UI" w:cs="Segoe UI"/>
      <w:sz w:val="18"/>
      <w:szCs w:val="18"/>
      <w:lang w:val="en-US"/>
    </w:rPr>
  </w:style>
  <w:style w:type="table" w:styleId="Reetkatablice">
    <w:name w:val="Table Grid"/>
    <w:basedOn w:val="Obinatablica"/>
    <w:uiPriority w:val="39"/>
    <w:rsid w:val="00FC35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C3576"/>
    <w:rPr>
      <w:color w:val="605E5C"/>
      <w:shd w:val="clear" w:color="auto" w:fill="E1DFDD"/>
    </w:rPr>
  </w:style>
  <w:style w:type="character" w:styleId="Referencakomentara">
    <w:name w:val="annotation reference"/>
    <w:basedOn w:val="Zadanifontodlomka"/>
    <w:uiPriority w:val="99"/>
    <w:semiHidden/>
    <w:unhideWhenUsed/>
    <w:rsid w:val="00FC3576"/>
    <w:rPr>
      <w:sz w:val="16"/>
      <w:szCs w:val="16"/>
    </w:rPr>
  </w:style>
  <w:style w:type="paragraph" w:styleId="Tekstkomentara">
    <w:name w:val="annotation text"/>
    <w:basedOn w:val="Normal"/>
    <w:link w:val="TekstkomentaraChar"/>
    <w:uiPriority w:val="99"/>
    <w:unhideWhenUsed/>
    <w:rsid w:val="00FC3576"/>
    <w:pPr>
      <w:spacing w:line="240" w:lineRule="auto"/>
    </w:pPr>
    <w:rPr>
      <w:sz w:val="20"/>
      <w:szCs w:val="20"/>
      <w:lang w:eastAsia="en-GB"/>
    </w:rPr>
  </w:style>
  <w:style w:type="character" w:customStyle="1" w:styleId="TekstkomentaraChar">
    <w:name w:val="Tekst komentara Char"/>
    <w:basedOn w:val="Zadanifontodlomka"/>
    <w:link w:val="Tekstkomentara"/>
    <w:uiPriority w:val="99"/>
    <w:rsid w:val="00FC3576"/>
    <w:rPr>
      <w:sz w:val="20"/>
      <w:szCs w:val="20"/>
      <w:lang w:eastAsia="en-GB"/>
    </w:rPr>
  </w:style>
  <w:style w:type="character" w:customStyle="1" w:styleId="freebirdanalyticsviewquestiontitle">
    <w:name w:val="freebirdanalyticsviewquestiontitle"/>
    <w:basedOn w:val="Zadanifontodlomka"/>
    <w:rsid w:val="00FC3576"/>
  </w:style>
  <w:style w:type="paragraph" w:styleId="Odlomakpopisa">
    <w:name w:val="List Paragraph"/>
    <w:basedOn w:val="Normal"/>
    <w:uiPriority w:val="34"/>
    <w:qFormat/>
    <w:rsid w:val="00FC3576"/>
    <w:pPr>
      <w:spacing w:after="0" w:line="240" w:lineRule="auto"/>
      <w:ind w:left="720"/>
      <w:contextualSpacing/>
    </w:pPr>
    <w:rPr>
      <w:rFonts w:ascii="Times New Roman" w:eastAsia="Times New Roman" w:hAnsi="Times New Roman" w:cs="Times New Roman"/>
      <w:sz w:val="24"/>
      <w:szCs w:val="24"/>
      <w:lang w:val="en-US"/>
    </w:rPr>
  </w:style>
  <w:style w:type="character" w:styleId="Istaknuto">
    <w:name w:val="Emphasis"/>
    <w:basedOn w:val="Zadanifontodlomka"/>
    <w:uiPriority w:val="20"/>
    <w:qFormat/>
    <w:rsid w:val="00FC3576"/>
    <w:rPr>
      <w:i/>
      <w:iCs/>
    </w:rPr>
  </w:style>
  <w:style w:type="paragraph" w:styleId="Predmetkomentara">
    <w:name w:val="annotation subject"/>
    <w:basedOn w:val="Tekstkomentara"/>
    <w:next w:val="Tekstkomentara"/>
    <w:link w:val="PredmetkomentaraChar"/>
    <w:uiPriority w:val="99"/>
    <w:semiHidden/>
    <w:unhideWhenUsed/>
    <w:rsid w:val="00FC3576"/>
    <w:pPr>
      <w:spacing w:after="0"/>
    </w:pPr>
    <w:rPr>
      <w:rFonts w:ascii="Times New Roman" w:eastAsia="Times New Roman" w:hAnsi="Times New Roman" w:cs="Times New Roman"/>
      <w:b/>
      <w:bCs/>
    </w:rPr>
  </w:style>
  <w:style w:type="character" w:customStyle="1" w:styleId="PredmetkomentaraChar">
    <w:name w:val="Predmet komentara Char"/>
    <w:basedOn w:val="TekstkomentaraChar"/>
    <w:link w:val="Predmetkomentara"/>
    <w:uiPriority w:val="99"/>
    <w:semiHidden/>
    <w:rsid w:val="00FC3576"/>
    <w:rPr>
      <w:rFonts w:ascii="Times New Roman" w:eastAsia="Times New Roman" w:hAnsi="Times New Roman" w:cs="Times New Roman"/>
      <w:b/>
      <w:bCs/>
      <w:sz w:val="20"/>
      <w:szCs w:val="20"/>
      <w:lang w:eastAsia="en-GB"/>
    </w:rPr>
  </w:style>
  <w:style w:type="character" w:customStyle="1" w:styleId="Nerijeenospominjanje1">
    <w:name w:val="Neriješeno spominjanje1"/>
    <w:basedOn w:val="Zadanifontodlomka"/>
    <w:uiPriority w:val="99"/>
    <w:semiHidden/>
    <w:unhideWhenUsed/>
    <w:rsid w:val="00FC3576"/>
    <w:rPr>
      <w:color w:val="605E5C"/>
      <w:shd w:val="clear" w:color="auto" w:fill="E1DFDD"/>
    </w:rPr>
  </w:style>
  <w:style w:type="character" w:customStyle="1" w:styleId="UnresolvedMention2">
    <w:name w:val="Unresolved Mention2"/>
    <w:basedOn w:val="Zadanifontodlomka"/>
    <w:uiPriority w:val="99"/>
    <w:semiHidden/>
    <w:unhideWhenUsed/>
    <w:rsid w:val="00FC3576"/>
    <w:rPr>
      <w:color w:val="605E5C"/>
      <w:shd w:val="clear" w:color="auto" w:fill="E1DFDD"/>
    </w:rPr>
  </w:style>
  <w:style w:type="character" w:customStyle="1" w:styleId="y2iqfc">
    <w:name w:val="y2iqfc"/>
    <w:basedOn w:val="Zadanifontodlomka"/>
    <w:rsid w:val="00FC3576"/>
  </w:style>
  <w:style w:type="table" w:customStyle="1" w:styleId="Reetkatablice1">
    <w:name w:val="Rešetka tablice1"/>
    <w:basedOn w:val="Obinatablica"/>
    <w:next w:val="Reetkatablice"/>
    <w:uiPriority w:val="39"/>
    <w:rsid w:val="002C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49514">
      <w:bodyDiv w:val="1"/>
      <w:marLeft w:val="0"/>
      <w:marRight w:val="0"/>
      <w:marTop w:val="0"/>
      <w:marBottom w:val="0"/>
      <w:divBdr>
        <w:top w:val="none" w:sz="0" w:space="0" w:color="auto"/>
        <w:left w:val="none" w:sz="0" w:space="0" w:color="auto"/>
        <w:bottom w:val="none" w:sz="0" w:space="0" w:color="auto"/>
        <w:right w:val="none" w:sz="0" w:space="0" w:color="auto"/>
      </w:divBdr>
    </w:div>
    <w:div w:id="16767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skos.unios.hr/wp-content/uploads/2018/05/gi-gisko2024-tisak_merged_compressed.pdf" TargetMode="External"/><Relationship Id="rId2" Type="http://schemas.openxmlformats.org/officeDocument/2006/relationships/hyperlink" Target="https://dzs.gov.hr/vijesti/objavljeni-konacni-rezultati-popisa-2021/1270" TargetMode="External"/><Relationship Id="rId1" Type="http://schemas.openxmlformats.org/officeDocument/2006/relationships/hyperlink" Target="http://dzs.ffzg.unizg.hr/text/UNESCOv_manifest_za_narodne_knjiznic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9435A-0081-448D-A63A-FB98DBDC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1590</Words>
  <Characters>9067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dc:creator>
  <cp:keywords/>
  <dc:description/>
  <cp:lastModifiedBy>Srđan</cp:lastModifiedBy>
  <cp:revision>20</cp:revision>
  <cp:lastPrinted>2020-01-24T11:09:00Z</cp:lastPrinted>
  <dcterms:created xsi:type="dcterms:W3CDTF">2020-02-10T08:32:00Z</dcterms:created>
  <dcterms:modified xsi:type="dcterms:W3CDTF">2024-12-17T08:54:00Z</dcterms:modified>
</cp:coreProperties>
</file>